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5869" w:rsidRPr="00AB184A" w:rsidRDefault="00AB5869" w:rsidP="002050CE">
      <w:pPr>
        <w:jc w:val="center"/>
        <w:rPr>
          <w:b/>
          <w:sz w:val="28"/>
          <w:szCs w:val="28"/>
        </w:rPr>
      </w:pPr>
      <w:r w:rsidRPr="00AB184A">
        <w:rPr>
          <w:b/>
          <w:sz w:val="28"/>
          <w:szCs w:val="28"/>
        </w:rPr>
        <w:t>ИНФОРМАЦИОННЫЙ</w:t>
      </w:r>
    </w:p>
    <w:p w:rsidR="00AB5869" w:rsidRPr="00AB184A" w:rsidRDefault="00AB5869" w:rsidP="002050CE">
      <w:pPr>
        <w:jc w:val="center"/>
        <w:rPr>
          <w:b/>
          <w:sz w:val="28"/>
          <w:szCs w:val="28"/>
        </w:rPr>
      </w:pPr>
      <w:r w:rsidRPr="00AB184A">
        <w:rPr>
          <w:b/>
          <w:sz w:val="28"/>
          <w:szCs w:val="28"/>
        </w:rPr>
        <w:t>БЮЛЛЕТЕНЬ</w:t>
      </w:r>
    </w:p>
    <w:p w:rsidR="00AB5869" w:rsidRDefault="00AB5869" w:rsidP="002050CE">
      <w:pPr>
        <w:jc w:val="center"/>
        <w:rPr>
          <w:b/>
          <w:sz w:val="28"/>
          <w:szCs w:val="28"/>
        </w:rPr>
      </w:pPr>
    </w:p>
    <w:p w:rsidR="00AB5869" w:rsidRDefault="00AB5869" w:rsidP="002050CE">
      <w:pPr>
        <w:jc w:val="center"/>
        <w:rPr>
          <w:b/>
          <w:sz w:val="28"/>
          <w:szCs w:val="28"/>
        </w:rPr>
      </w:pPr>
      <w:r>
        <w:rPr>
          <w:b/>
          <w:sz w:val="28"/>
          <w:szCs w:val="28"/>
        </w:rPr>
        <w:t>СПЕЦИАЛЬНЫЙ</w:t>
      </w:r>
    </w:p>
    <w:p w:rsidR="00AB5869" w:rsidRDefault="00AB5869" w:rsidP="002050CE">
      <w:pPr>
        <w:jc w:val="center"/>
        <w:rPr>
          <w:b/>
          <w:sz w:val="28"/>
          <w:szCs w:val="28"/>
        </w:rPr>
      </w:pPr>
      <w:r w:rsidRPr="00AB184A">
        <w:rPr>
          <w:b/>
          <w:sz w:val="28"/>
          <w:szCs w:val="28"/>
        </w:rPr>
        <w:t>ВЫПУСК</w:t>
      </w:r>
    </w:p>
    <w:p w:rsidR="00AB5869" w:rsidRDefault="00AB5869" w:rsidP="002050CE">
      <w:pPr>
        <w:jc w:val="center"/>
        <w:rPr>
          <w:b/>
          <w:sz w:val="28"/>
          <w:szCs w:val="28"/>
        </w:rPr>
      </w:pPr>
      <w:r w:rsidRPr="00AB184A">
        <w:rPr>
          <w:b/>
          <w:sz w:val="28"/>
          <w:szCs w:val="28"/>
        </w:rPr>
        <w:t xml:space="preserve">№ </w:t>
      </w:r>
      <w:r>
        <w:rPr>
          <w:b/>
          <w:sz w:val="28"/>
          <w:szCs w:val="28"/>
        </w:rPr>
        <w:t>5</w:t>
      </w:r>
      <w:r w:rsidRPr="00AB184A">
        <w:rPr>
          <w:b/>
          <w:sz w:val="28"/>
          <w:szCs w:val="28"/>
        </w:rPr>
        <w:t xml:space="preserve"> (3</w:t>
      </w:r>
      <w:r>
        <w:rPr>
          <w:b/>
          <w:sz w:val="28"/>
          <w:szCs w:val="28"/>
        </w:rPr>
        <w:t>9</w:t>
      </w:r>
      <w:r w:rsidRPr="00AB184A">
        <w:rPr>
          <w:b/>
          <w:sz w:val="28"/>
          <w:szCs w:val="28"/>
        </w:rPr>
        <w:t>)</w:t>
      </w:r>
    </w:p>
    <w:p w:rsidR="00AB5869" w:rsidRDefault="00AB5869" w:rsidP="002050CE">
      <w:pPr>
        <w:jc w:val="center"/>
        <w:rPr>
          <w:b/>
          <w:sz w:val="28"/>
          <w:szCs w:val="28"/>
        </w:rPr>
      </w:pPr>
    </w:p>
    <w:p w:rsidR="00AB5869" w:rsidRDefault="00AB5869" w:rsidP="002050CE">
      <w:pPr>
        <w:jc w:val="center"/>
        <w:rPr>
          <w:b/>
          <w:sz w:val="28"/>
          <w:szCs w:val="28"/>
        </w:rPr>
      </w:pPr>
      <w:r>
        <w:rPr>
          <w:b/>
          <w:sz w:val="28"/>
          <w:szCs w:val="28"/>
        </w:rPr>
        <w:t>октябрь – 2012</w:t>
      </w:r>
    </w:p>
    <w:p w:rsidR="00AB5869" w:rsidRDefault="00AB5869" w:rsidP="002050CE">
      <w:pPr>
        <w:jc w:val="center"/>
        <w:rPr>
          <w:b/>
          <w:sz w:val="28"/>
          <w:szCs w:val="28"/>
        </w:rPr>
      </w:pPr>
    </w:p>
    <w:p w:rsidR="00AB5869" w:rsidRDefault="00AB5869" w:rsidP="002050CE">
      <w:pPr>
        <w:jc w:val="center"/>
        <w:rPr>
          <w:b/>
          <w:sz w:val="28"/>
          <w:szCs w:val="28"/>
        </w:rPr>
      </w:pPr>
    </w:p>
    <w:p w:rsidR="00AB5869" w:rsidRDefault="00AB5869" w:rsidP="002050CE">
      <w:pPr>
        <w:spacing w:line="25" w:lineRule="atLeast"/>
        <w:ind w:firstLine="708"/>
        <w:jc w:val="center"/>
        <w:rPr>
          <w:b/>
        </w:rPr>
      </w:pPr>
    </w:p>
    <w:p w:rsidR="00AB5869" w:rsidRDefault="00AB5869" w:rsidP="002050CE">
      <w:pPr>
        <w:spacing w:line="25" w:lineRule="atLeast"/>
        <w:ind w:firstLine="708"/>
        <w:jc w:val="center"/>
        <w:rPr>
          <w:b/>
        </w:rPr>
      </w:pPr>
    </w:p>
    <w:p w:rsidR="00AB5869" w:rsidRPr="00AB5869" w:rsidRDefault="00AB5869" w:rsidP="002050CE">
      <w:pPr>
        <w:spacing w:line="25" w:lineRule="atLeast"/>
        <w:ind w:firstLine="708"/>
        <w:jc w:val="center"/>
        <w:rPr>
          <w:b/>
          <w:sz w:val="32"/>
          <w:szCs w:val="32"/>
        </w:rPr>
      </w:pPr>
      <w:r w:rsidRPr="00AB5869">
        <w:rPr>
          <w:b/>
          <w:sz w:val="32"/>
          <w:szCs w:val="32"/>
        </w:rPr>
        <w:t>Заключение</w:t>
      </w:r>
    </w:p>
    <w:p w:rsidR="00AB5869" w:rsidRPr="00AB5869" w:rsidRDefault="00AB5869" w:rsidP="002050CE">
      <w:pPr>
        <w:spacing w:line="25" w:lineRule="atLeast"/>
        <w:ind w:firstLine="708"/>
        <w:jc w:val="center"/>
        <w:rPr>
          <w:b/>
          <w:sz w:val="32"/>
          <w:szCs w:val="32"/>
        </w:rPr>
      </w:pPr>
      <w:r w:rsidRPr="00AB5869">
        <w:rPr>
          <w:b/>
          <w:sz w:val="32"/>
          <w:szCs w:val="32"/>
        </w:rPr>
        <w:t>Контрольно-счетной  палаты Томской области</w:t>
      </w:r>
    </w:p>
    <w:p w:rsidR="00AB5869" w:rsidRDefault="00AB5869" w:rsidP="002050CE">
      <w:pPr>
        <w:spacing w:line="25" w:lineRule="atLeast"/>
        <w:ind w:firstLine="708"/>
        <w:jc w:val="center"/>
        <w:rPr>
          <w:b/>
          <w:sz w:val="32"/>
          <w:szCs w:val="32"/>
        </w:rPr>
      </w:pPr>
      <w:r w:rsidRPr="00AB5869">
        <w:rPr>
          <w:b/>
          <w:sz w:val="32"/>
          <w:szCs w:val="32"/>
        </w:rPr>
        <w:t>на проект закона Томской области</w:t>
      </w:r>
    </w:p>
    <w:p w:rsidR="00AB5869" w:rsidRPr="00AB5869" w:rsidRDefault="00AB5869" w:rsidP="002050CE">
      <w:pPr>
        <w:spacing w:line="25" w:lineRule="atLeast"/>
        <w:ind w:firstLine="708"/>
        <w:jc w:val="center"/>
        <w:rPr>
          <w:b/>
          <w:sz w:val="32"/>
          <w:szCs w:val="32"/>
        </w:rPr>
      </w:pPr>
      <w:r w:rsidRPr="00AB5869">
        <w:rPr>
          <w:b/>
          <w:sz w:val="32"/>
          <w:szCs w:val="32"/>
        </w:rPr>
        <w:t>«Об областном бюджете на 2013 год</w:t>
      </w:r>
    </w:p>
    <w:p w:rsidR="00AB5869" w:rsidRPr="00AB5869" w:rsidRDefault="00AB5869" w:rsidP="002050CE">
      <w:pPr>
        <w:spacing w:line="25" w:lineRule="atLeast"/>
        <w:ind w:firstLine="708"/>
        <w:jc w:val="center"/>
        <w:rPr>
          <w:b/>
          <w:sz w:val="32"/>
          <w:szCs w:val="32"/>
        </w:rPr>
      </w:pPr>
      <w:r w:rsidRPr="00AB5869">
        <w:rPr>
          <w:b/>
          <w:sz w:val="32"/>
          <w:szCs w:val="32"/>
        </w:rPr>
        <w:t>и на плановый период 2014 и 2015 годов»</w:t>
      </w:r>
    </w:p>
    <w:p w:rsidR="00AB5869" w:rsidRPr="00AB5869" w:rsidRDefault="00AB5869" w:rsidP="002050CE">
      <w:pPr>
        <w:jc w:val="center"/>
        <w:rPr>
          <w:b/>
          <w:sz w:val="32"/>
          <w:szCs w:val="32"/>
        </w:rPr>
      </w:pPr>
    </w:p>
    <w:p w:rsidR="00CB4337" w:rsidRDefault="00CB4337" w:rsidP="002050CE">
      <w:pPr>
        <w:jc w:val="center"/>
      </w:pPr>
    </w:p>
    <w:p w:rsidR="00C83EEA" w:rsidRDefault="00C83EEA" w:rsidP="00C83EEA">
      <w:pPr>
        <w:spacing w:line="25" w:lineRule="atLeast"/>
        <w:ind w:firstLine="708"/>
        <w:jc w:val="both"/>
        <w:rPr>
          <w:b/>
        </w:rPr>
      </w:pPr>
    </w:p>
    <w:p w:rsidR="00C83EEA" w:rsidRPr="00EC2B40" w:rsidRDefault="00C83EEA" w:rsidP="00C83EEA">
      <w:pPr>
        <w:spacing w:line="25" w:lineRule="atLeast"/>
        <w:ind w:firstLine="708"/>
        <w:jc w:val="both"/>
        <w:rPr>
          <w:b/>
        </w:rPr>
      </w:pPr>
      <w:r>
        <w:rPr>
          <w:b/>
        </w:rPr>
        <w:t>1. Общие положения.</w:t>
      </w:r>
    </w:p>
    <w:p w:rsidR="00C83EEA" w:rsidRDefault="00C83EEA" w:rsidP="00C83EEA">
      <w:pPr>
        <w:pStyle w:val="a3"/>
        <w:spacing w:before="120" w:after="0"/>
        <w:ind w:firstLine="720"/>
        <w:jc w:val="both"/>
      </w:pPr>
      <w:proofErr w:type="gramStart"/>
      <w:r>
        <w:t xml:space="preserve">Заключение Контрольно-счетной  палаты Томской области (далее – Заключение) на проект закона Томской области </w:t>
      </w:r>
      <w:r w:rsidRPr="003F11FF">
        <w:t xml:space="preserve">«Об областном  бюджете </w:t>
      </w:r>
      <w:r>
        <w:t xml:space="preserve"> </w:t>
      </w:r>
      <w:r w:rsidRPr="003F11FF">
        <w:t>на 20</w:t>
      </w:r>
      <w:r w:rsidRPr="00D64C98">
        <w:t>1</w:t>
      </w:r>
      <w:r>
        <w:t xml:space="preserve">3 год и на плановый период </w:t>
      </w:r>
      <w:r w:rsidRPr="003F11FF">
        <w:t>20</w:t>
      </w:r>
      <w:r>
        <w:t>14</w:t>
      </w:r>
      <w:r w:rsidRPr="003F11FF">
        <w:t xml:space="preserve"> и 201</w:t>
      </w:r>
      <w:r>
        <w:t>5</w:t>
      </w:r>
      <w:r w:rsidRPr="003F11FF">
        <w:t xml:space="preserve"> годов» </w:t>
      </w:r>
      <w:r>
        <w:t>(далее – законопроект, проект закона) подготовлено в соответствии  с Бюджетным кодексом РФ,  законами Томской области «О Контрольно-счетной палате Томской области», «О бюджетном процессе в Томской области» и иными нормативными правовыми актами Российской Федерации и Томской</w:t>
      </w:r>
      <w:proofErr w:type="gramEnd"/>
      <w:r>
        <w:t xml:space="preserve"> области.</w:t>
      </w:r>
    </w:p>
    <w:p w:rsidR="00C83EEA" w:rsidRDefault="00C83EEA" w:rsidP="00C83EEA">
      <w:pPr>
        <w:ind w:firstLine="709"/>
        <w:jc w:val="both"/>
      </w:pPr>
      <w:proofErr w:type="gramStart"/>
      <w:r>
        <w:t>Контрольно-счетной палатой проанализированы представленный Администрацией Томской области (далее – Администрация) прогноз социально-экономического развития  Томской области на 20</w:t>
      </w:r>
      <w:r w:rsidRPr="00D64C98">
        <w:t>1</w:t>
      </w:r>
      <w:r>
        <w:t>3</w:t>
      </w:r>
      <w:r w:rsidRPr="001E7867">
        <w:t>-</w:t>
      </w:r>
      <w:r>
        <w:t>2015 годы,  структура и содержание законопроекта, а также проверено наличие и оценено состояние нормативной и методической базы, регулирующей порядок их формирования.</w:t>
      </w:r>
      <w:proofErr w:type="gramEnd"/>
    </w:p>
    <w:p w:rsidR="00C83EEA" w:rsidRPr="004A369B" w:rsidRDefault="00C83EEA" w:rsidP="00C83EEA">
      <w:pPr>
        <w:ind w:firstLine="720"/>
        <w:jc w:val="both"/>
      </w:pPr>
      <w:r>
        <w:t>Документы и материалы, представленные вместе с проектом бюджета, соответствуют  перечням, установленным статьей 184</w:t>
      </w:r>
      <w:r>
        <w:rPr>
          <w:vertAlign w:val="superscript"/>
        </w:rPr>
        <w:t>2</w:t>
      </w:r>
      <w:r>
        <w:t xml:space="preserve"> Бюджетного кодекса РФ и пунктом 2 статьи 18 Закона Томской области от 11.10.2007 № 231-ОЗ «О бюджетном процессе в Томской области»,</w:t>
      </w:r>
      <w:r w:rsidRPr="00CA06C2">
        <w:t xml:space="preserve"> </w:t>
      </w:r>
      <w:r w:rsidRPr="008202E8">
        <w:t xml:space="preserve">за исключением </w:t>
      </w:r>
      <w:r w:rsidRPr="004A369B">
        <w:t>предоставления методик расчетов и расчетов распределения некоторых межбюджетных трансфертов.</w:t>
      </w:r>
    </w:p>
    <w:p w:rsidR="00C83EEA" w:rsidRPr="008202E8" w:rsidRDefault="00C83EEA" w:rsidP="00C83EEA">
      <w:pPr>
        <w:ind w:firstLine="720"/>
        <w:jc w:val="both"/>
      </w:pPr>
    </w:p>
    <w:p w:rsidR="00C83EEA" w:rsidRDefault="00C83EEA" w:rsidP="00C83EEA">
      <w:pPr>
        <w:spacing w:line="25" w:lineRule="atLeast"/>
        <w:ind w:firstLine="708"/>
        <w:jc w:val="both"/>
        <w:rPr>
          <w:b/>
        </w:rPr>
      </w:pPr>
      <w:r>
        <w:rPr>
          <w:b/>
        </w:rPr>
        <w:t>2. Анализ увязки законопроекта с документами с</w:t>
      </w:r>
      <w:r w:rsidRPr="00EC2B40">
        <w:rPr>
          <w:b/>
        </w:rPr>
        <w:t>трате</w:t>
      </w:r>
      <w:r>
        <w:rPr>
          <w:b/>
        </w:rPr>
        <w:t>гического планирования</w:t>
      </w:r>
      <w:r w:rsidRPr="00EC2B40">
        <w:rPr>
          <w:b/>
        </w:rPr>
        <w:t xml:space="preserve"> Томской области и</w:t>
      </w:r>
      <w:r>
        <w:rPr>
          <w:b/>
        </w:rPr>
        <w:t xml:space="preserve"> </w:t>
      </w:r>
      <w:r w:rsidRPr="00EC2B40">
        <w:rPr>
          <w:b/>
        </w:rPr>
        <w:t>основными направлениями</w:t>
      </w:r>
      <w:r>
        <w:rPr>
          <w:b/>
        </w:rPr>
        <w:t xml:space="preserve"> бюджетной и налоговой политики.</w:t>
      </w:r>
    </w:p>
    <w:p w:rsidR="00C83EEA" w:rsidRPr="009772E4" w:rsidRDefault="00C83EEA" w:rsidP="00C83EEA">
      <w:pPr>
        <w:spacing w:before="120" w:line="25" w:lineRule="atLeast"/>
        <w:ind w:firstLine="709"/>
        <w:jc w:val="both"/>
      </w:pPr>
      <w:r w:rsidRPr="009772E4">
        <w:t>Проект областного бюджета на очередной финансовый год и на плановый период формируется на основе документов стратегического и программно-целевого планирования Томской области. Прогнозирование на среднесрочную перспективу до 2015 года осуществлялось при наличии следующих документов:</w:t>
      </w:r>
    </w:p>
    <w:p w:rsidR="00C83EEA" w:rsidRPr="009772E4" w:rsidRDefault="00C83EEA" w:rsidP="00C83EEA">
      <w:pPr>
        <w:spacing w:line="25" w:lineRule="atLeast"/>
        <w:jc w:val="both"/>
      </w:pPr>
      <w:r w:rsidRPr="009772E4">
        <w:t xml:space="preserve">- </w:t>
      </w:r>
      <w:hyperlink r:id="rId8" w:history="1">
        <w:r w:rsidRPr="009772E4">
          <w:rPr>
            <w:rStyle w:val="a5"/>
            <w:color w:val="auto"/>
          </w:rPr>
          <w:t>Стратегия развития Томской области до 2020 года</w:t>
        </w:r>
      </w:hyperlink>
      <w:r w:rsidRPr="009772E4">
        <w:t>;</w:t>
      </w:r>
    </w:p>
    <w:p w:rsidR="00C83EEA" w:rsidRPr="009772E4" w:rsidRDefault="00C83EEA" w:rsidP="00C83EEA">
      <w:pPr>
        <w:spacing w:line="25" w:lineRule="atLeast"/>
        <w:jc w:val="both"/>
      </w:pPr>
      <w:r w:rsidRPr="009772E4">
        <w:t>- Схема территориального планирования Томской области;</w:t>
      </w:r>
    </w:p>
    <w:p w:rsidR="00C83EEA" w:rsidRPr="009772E4" w:rsidRDefault="00C83EEA" w:rsidP="00C83EEA">
      <w:pPr>
        <w:spacing w:line="25" w:lineRule="atLeast"/>
        <w:jc w:val="both"/>
      </w:pPr>
      <w:r w:rsidRPr="009772E4">
        <w:t xml:space="preserve">- </w:t>
      </w:r>
      <w:hyperlink r:id="rId9" w:history="1">
        <w:r w:rsidRPr="009772E4">
          <w:rPr>
            <w:rStyle w:val="a5"/>
            <w:color w:val="auto"/>
          </w:rPr>
          <w:t>Энергетическая стратегия Томской области на период до 2020 года</w:t>
        </w:r>
      </w:hyperlink>
      <w:r w:rsidRPr="009772E4">
        <w:t>;</w:t>
      </w:r>
    </w:p>
    <w:p w:rsidR="00C83EEA" w:rsidRPr="009772E4" w:rsidRDefault="00C83EEA" w:rsidP="00C83EEA">
      <w:pPr>
        <w:autoSpaceDE w:val="0"/>
        <w:autoSpaceDN w:val="0"/>
        <w:adjustRightInd w:val="0"/>
        <w:jc w:val="both"/>
        <w:outlineLvl w:val="0"/>
      </w:pPr>
      <w:r w:rsidRPr="009772E4">
        <w:lastRenderedPageBreak/>
        <w:t xml:space="preserve">- </w:t>
      </w:r>
      <w:hyperlink r:id="rId10" w:history="1">
        <w:proofErr w:type="gramStart"/>
        <w:r w:rsidRPr="009772E4">
          <w:t>Концепци</w:t>
        </w:r>
      </w:hyperlink>
      <w:r w:rsidRPr="009772E4">
        <w:t>я</w:t>
      </w:r>
      <w:proofErr w:type="gramEnd"/>
      <w:r w:rsidRPr="009772E4">
        <w:t xml:space="preserve"> создания в Томской области Центра образования, исследований и разработок;</w:t>
      </w:r>
    </w:p>
    <w:p w:rsidR="00C83EEA" w:rsidRPr="009772E4" w:rsidRDefault="00C83EEA" w:rsidP="00C83EEA">
      <w:pPr>
        <w:spacing w:line="25" w:lineRule="atLeast"/>
        <w:jc w:val="both"/>
      </w:pPr>
      <w:r w:rsidRPr="009772E4">
        <w:t xml:space="preserve">- </w:t>
      </w:r>
      <w:hyperlink r:id="rId11" w:history="1">
        <w:r w:rsidRPr="009772E4">
          <w:rPr>
            <w:rStyle w:val="a5"/>
            <w:color w:val="auto"/>
          </w:rPr>
          <w:t>Стратегия развития транспортной системы Томской области в 2008-2025 годах</w:t>
        </w:r>
      </w:hyperlink>
      <w:r w:rsidRPr="009772E4">
        <w:t>;</w:t>
      </w:r>
    </w:p>
    <w:p w:rsidR="00C83EEA" w:rsidRPr="009772E4" w:rsidRDefault="00C83EEA" w:rsidP="00C83EEA">
      <w:pPr>
        <w:spacing w:line="25" w:lineRule="atLeast"/>
        <w:jc w:val="both"/>
      </w:pPr>
      <w:r w:rsidRPr="009772E4">
        <w:t>- Лесной план Томской области на 2009-2018 годы;</w:t>
      </w:r>
    </w:p>
    <w:p w:rsidR="00C83EEA" w:rsidRPr="009772E4" w:rsidRDefault="00C83EEA" w:rsidP="00C83EEA">
      <w:pPr>
        <w:spacing w:line="25" w:lineRule="atLeast"/>
        <w:jc w:val="both"/>
      </w:pPr>
      <w:r w:rsidRPr="009772E4">
        <w:t xml:space="preserve">- </w:t>
      </w:r>
      <w:hyperlink r:id="rId12" w:history="1">
        <w:r w:rsidRPr="009772E4">
          <w:rPr>
            <w:rStyle w:val="a5"/>
            <w:color w:val="auto"/>
          </w:rPr>
          <w:t>Концепция действий на рынке труда Томской области до 2020 года</w:t>
        </w:r>
      </w:hyperlink>
      <w:r w:rsidRPr="009772E4">
        <w:t>;</w:t>
      </w:r>
    </w:p>
    <w:p w:rsidR="00C83EEA" w:rsidRPr="009772E4" w:rsidRDefault="00C83EEA" w:rsidP="00C83EEA">
      <w:pPr>
        <w:spacing w:line="25" w:lineRule="atLeast"/>
        <w:jc w:val="both"/>
      </w:pPr>
      <w:r w:rsidRPr="009772E4">
        <w:t xml:space="preserve">- </w:t>
      </w:r>
      <w:hyperlink r:id="rId13" w:history="1">
        <w:r w:rsidRPr="009772E4">
          <w:rPr>
            <w:rStyle w:val="a5"/>
            <w:color w:val="auto"/>
          </w:rPr>
          <w:t>Концепция повышения благосостояния населения Томской области до 2020 года</w:t>
        </w:r>
      </w:hyperlink>
      <w:r w:rsidRPr="009772E4">
        <w:t>;</w:t>
      </w:r>
    </w:p>
    <w:p w:rsidR="00C83EEA" w:rsidRPr="009772E4" w:rsidRDefault="00C83EEA" w:rsidP="00C83EEA">
      <w:pPr>
        <w:spacing w:line="25" w:lineRule="atLeast"/>
        <w:jc w:val="both"/>
      </w:pPr>
      <w:r w:rsidRPr="009772E4">
        <w:t xml:space="preserve">- </w:t>
      </w:r>
      <w:hyperlink r:id="rId14" w:history="1">
        <w:r w:rsidRPr="009772E4">
          <w:rPr>
            <w:rStyle w:val="a5"/>
            <w:color w:val="auto"/>
          </w:rPr>
          <w:t>Стратегия государственной молодежной политики в Томской области</w:t>
        </w:r>
      </w:hyperlink>
      <w:r w:rsidRPr="009772E4">
        <w:t xml:space="preserve"> (2008-2018 годы);</w:t>
      </w:r>
    </w:p>
    <w:p w:rsidR="00C83EEA" w:rsidRPr="009772E4" w:rsidRDefault="00C83EEA" w:rsidP="00C83EEA">
      <w:pPr>
        <w:spacing w:line="25" w:lineRule="atLeast"/>
        <w:jc w:val="both"/>
      </w:pPr>
      <w:r w:rsidRPr="009772E4">
        <w:t xml:space="preserve">- </w:t>
      </w:r>
      <w:hyperlink r:id="rId15" w:history="1">
        <w:r w:rsidRPr="009772E4">
          <w:rPr>
            <w:rStyle w:val="a5"/>
            <w:color w:val="auto"/>
          </w:rPr>
          <w:t>Стратегия развития физической культуры и спорта Томской области до 2015 года</w:t>
        </w:r>
      </w:hyperlink>
      <w:r w:rsidRPr="009772E4">
        <w:t>;</w:t>
      </w:r>
    </w:p>
    <w:p w:rsidR="00C83EEA" w:rsidRPr="009772E4" w:rsidRDefault="00C83EEA" w:rsidP="00C83EEA">
      <w:pPr>
        <w:spacing w:line="25" w:lineRule="atLeast"/>
        <w:jc w:val="both"/>
      </w:pPr>
      <w:r w:rsidRPr="009772E4">
        <w:t xml:space="preserve">- </w:t>
      </w:r>
      <w:hyperlink r:id="rId16" w:history="1">
        <w:r w:rsidRPr="009772E4">
          <w:rPr>
            <w:rStyle w:val="a5"/>
            <w:color w:val="auto"/>
          </w:rPr>
          <w:t>Концепция развития бытового обслуживания населения Томской области</w:t>
        </w:r>
      </w:hyperlink>
      <w:r w:rsidRPr="009772E4">
        <w:t xml:space="preserve"> (2008-2013 годы);</w:t>
      </w:r>
    </w:p>
    <w:p w:rsidR="00C83EEA" w:rsidRPr="009772E4" w:rsidRDefault="00C83EEA" w:rsidP="00C83EEA">
      <w:pPr>
        <w:spacing w:line="25" w:lineRule="atLeast"/>
        <w:jc w:val="both"/>
      </w:pPr>
      <w:r w:rsidRPr="009772E4">
        <w:t xml:space="preserve">- </w:t>
      </w:r>
      <w:hyperlink r:id="rId17" w:history="1">
        <w:r w:rsidRPr="009772E4">
          <w:rPr>
            <w:rStyle w:val="a5"/>
            <w:color w:val="auto"/>
          </w:rPr>
          <w:t>Концепция развития туризма и гостеприимства в Томской области</w:t>
        </w:r>
      </w:hyperlink>
      <w:r w:rsidRPr="009772E4">
        <w:t xml:space="preserve"> (2008-2013 годы);</w:t>
      </w:r>
    </w:p>
    <w:p w:rsidR="00C83EEA" w:rsidRPr="00235600" w:rsidRDefault="00C83EEA" w:rsidP="00C83EEA">
      <w:pPr>
        <w:autoSpaceDE w:val="0"/>
        <w:autoSpaceDN w:val="0"/>
        <w:adjustRightInd w:val="0"/>
        <w:jc w:val="both"/>
        <w:outlineLvl w:val="0"/>
      </w:pPr>
      <w:r w:rsidRPr="009772E4">
        <w:t xml:space="preserve">- </w:t>
      </w:r>
      <w:hyperlink r:id="rId18" w:history="1">
        <w:proofErr w:type="gramStart"/>
        <w:r w:rsidRPr="009772E4">
          <w:t>Концепци</w:t>
        </w:r>
      </w:hyperlink>
      <w:r w:rsidRPr="009772E4">
        <w:t>я</w:t>
      </w:r>
      <w:proofErr w:type="gramEnd"/>
      <w:r w:rsidRPr="009772E4">
        <w:t xml:space="preserve"> реализации политики по снижению масштабов злоупотребления алкогольной продукцией и профилактике алкоголизма среди населения</w:t>
      </w:r>
      <w:r w:rsidRPr="00235600">
        <w:t xml:space="preserve"> Томской</w:t>
      </w:r>
      <w:r>
        <w:t xml:space="preserve"> области на период до 2020 года.</w:t>
      </w:r>
    </w:p>
    <w:p w:rsidR="00C83EEA" w:rsidRDefault="00C83EEA" w:rsidP="00C83EEA">
      <w:pPr>
        <w:spacing w:line="25" w:lineRule="atLeast"/>
        <w:ind w:firstLine="720"/>
        <w:jc w:val="both"/>
      </w:pPr>
      <w:r>
        <w:t xml:space="preserve">Несмотря на наличие ряда программных документов, в 2012 году завершается действие </w:t>
      </w:r>
      <w:r w:rsidRPr="00555BB1">
        <w:t>Программы социально-экономического развития Томской области  на период</w:t>
      </w:r>
      <w:r>
        <w:t xml:space="preserve"> 2006-2012 годов. </w:t>
      </w:r>
      <w:proofErr w:type="gramStart"/>
      <w:r>
        <w:t>Таким образом, бюджетные проектировки,  как в краткосрочном, так и в среднесрочном периодах, строились с нарушением ст.15 Закона Томской области «О бюджетном процессе в Томской области» - при отсутствии Программы социально-экономического развития Томской области на среднесрочный период.</w:t>
      </w:r>
      <w:proofErr w:type="gramEnd"/>
      <w:r>
        <w:t xml:space="preserve"> Отсутствие комплексного документа, носящего характер </w:t>
      </w:r>
      <w:proofErr w:type="gramStart"/>
      <w:r>
        <w:t>инструмента реализации Стратегии развития Томской области</w:t>
      </w:r>
      <w:proofErr w:type="gramEnd"/>
      <w:r>
        <w:t xml:space="preserve"> до 2020 года и основы для составления проекта областного бюджета на плановый период, не позволяет с большей степенью достоверности прогнозировать перспективы роста физических объемов и стоимостных показателей в экономике, и, соответственно, возможности наполнения доходной части областного бюджета.  Положения Программы также должны найти отражение в программах социально-экономического развития муниципальных образований, тем самым обеспечивая связь между инициативами муниципальных образований и стратегическими приоритетами области. </w:t>
      </w:r>
    </w:p>
    <w:p w:rsidR="00C83EEA" w:rsidRDefault="00C83EEA" w:rsidP="00C83EEA">
      <w:pPr>
        <w:spacing w:line="25" w:lineRule="atLeast"/>
        <w:ind w:firstLine="720"/>
        <w:jc w:val="both"/>
      </w:pPr>
      <w:proofErr w:type="gramStart"/>
      <w:r>
        <w:t>Внесенный на рассмотрение Законодательной Думы Томской области 12.10.2012 проект актуализированной Стратегии социально-экономического развития Томской области до 2020 года (с прогнозом до 2025 года) не был задействован в разработке проекта бюджета, так как сверка прогнозных значений отдельных показателей развития показала расхождение их с показателями прогноза социально-экономического развития Томской области на 2013-2015 годы, внесенного одновременно с законопроектом.</w:t>
      </w:r>
      <w:proofErr w:type="gramEnd"/>
      <w:r>
        <w:t xml:space="preserve"> Так, номинальный объем ВРП по прогнозу СЭР на 2015 год по оптимистическому сценарию составляет 486,6 </w:t>
      </w:r>
      <w:proofErr w:type="spellStart"/>
      <w:r>
        <w:t>млрд</w:t>
      </w:r>
      <w:proofErr w:type="gramStart"/>
      <w:r>
        <w:t>.р</w:t>
      </w:r>
      <w:proofErr w:type="gramEnd"/>
      <w:r>
        <w:t>уб</w:t>
      </w:r>
      <w:proofErr w:type="spellEnd"/>
      <w:r>
        <w:t xml:space="preserve">., а по Стратегии - 571,1 </w:t>
      </w:r>
      <w:proofErr w:type="spellStart"/>
      <w:r>
        <w:t>млрд.руб</w:t>
      </w:r>
      <w:proofErr w:type="spellEnd"/>
      <w:r>
        <w:t xml:space="preserve">. (реалистичный – 449,9 </w:t>
      </w:r>
      <w:proofErr w:type="spellStart"/>
      <w:r>
        <w:t>млрд.руб</w:t>
      </w:r>
      <w:proofErr w:type="spellEnd"/>
      <w:r>
        <w:t>.).</w:t>
      </w:r>
    </w:p>
    <w:p w:rsidR="00C83EEA" w:rsidRDefault="00C83EEA" w:rsidP="00C83EEA">
      <w:pPr>
        <w:spacing w:line="25" w:lineRule="atLeast"/>
        <w:jc w:val="both"/>
      </w:pPr>
      <w:r w:rsidRPr="00555BB1">
        <w:tab/>
      </w:r>
      <w:r>
        <w:t>Представленные с законопроектом О</w:t>
      </w:r>
      <w:r w:rsidRPr="00555BB1">
        <w:t xml:space="preserve">сновные направления бюджетной и  налоговой политики в области доходов </w:t>
      </w:r>
      <w:r>
        <w:t>в</w:t>
      </w:r>
      <w:r w:rsidRPr="00555BB1">
        <w:t xml:space="preserve"> целом отражают общие тенденции и направления, сложившиеся на общероссийском уровне. Происходящие в Томской области макроэкономические процессы взаимоувязаны с ситуацией на общероссийском уровне, что позволяет с достаточно высокой степенью вероятности прогнозировать перспективы развития экономики в целом и </w:t>
      </w:r>
      <w:proofErr w:type="gramStart"/>
      <w:r w:rsidRPr="00555BB1">
        <w:t>экономических процессов</w:t>
      </w:r>
      <w:proofErr w:type="gramEnd"/>
      <w:r w:rsidRPr="00555BB1">
        <w:t>, происходящих в отдельных ее отраслях</w:t>
      </w:r>
      <w:r>
        <w:t xml:space="preserve"> (по видам экономической деятельности)</w:t>
      </w:r>
      <w:r w:rsidRPr="00555BB1">
        <w:t xml:space="preserve">. </w:t>
      </w:r>
    </w:p>
    <w:p w:rsidR="00C83EEA" w:rsidRDefault="00C83EEA" w:rsidP="00C83EEA">
      <w:pPr>
        <w:spacing w:line="25" w:lineRule="atLeast"/>
        <w:ind w:firstLine="720"/>
        <w:jc w:val="both"/>
      </w:pPr>
      <w:proofErr w:type="gramStart"/>
      <w:r w:rsidRPr="00555BB1">
        <w:t>Согласно документам и материалам к законопроекту</w:t>
      </w:r>
      <w:r>
        <w:t xml:space="preserve"> в среднесрочном периоде экономическая политика Томской области будет направлена на повышение конкурентоспособности экономики Томской области с учетом внедрения адаптационных и защитных механизмов хозяйствования в условиях присоединения России к ВТО; модернизацию экономики на основе программно-целевого метода управления; формирование благоприятного регионального инвестиционного климата; ускоренное </w:t>
      </w:r>
      <w:r>
        <w:lastRenderedPageBreak/>
        <w:t>инновационное развитие и дальнейшее повышение энергетической эффективности секторов экономики.</w:t>
      </w:r>
      <w:proofErr w:type="gramEnd"/>
    </w:p>
    <w:p w:rsidR="00C83EEA" w:rsidRPr="00FD1DC7" w:rsidRDefault="00C83EEA" w:rsidP="00C83EEA">
      <w:pPr>
        <w:spacing w:line="25" w:lineRule="atLeast"/>
        <w:ind w:firstLine="720"/>
        <w:jc w:val="both"/>
      </w:pPr>
      <w:r>
        <w:t xml:space="preserve">Предпринятые Администрацией области меры по укреплению финансовой стабильности бюджета, </w:t>
      </w:r>
      <w:r w:rsidRPr="008C0C33">
        <w:t>включая консервативный подход к его составлению и исполнению, положитель</w:t>
      </w:r>
      <w:r>
        <w:t xml:space="preserve">но повлияли на рейтинги кредитоспособности Томской области, которые были дважды в течение 2011 года повышены рейтинговым агентством </w:t>
      </w:r>
      <w:proofErr w:type="spellStart"/>
      <w:r>
        <w:rPr>
          <w:lang w:val="en-US"/>
        </w:rPr>
        <w:t>Standart</w:t>
      </w:r>
      <w:proofErr w:type="spellEnd"/>
      <w:r w:rsidRPr="00554E6B">
        <w:t>&amp;</w:t>
      </w:r>
      <w:r>
        <w:rPr>
          <w:lang w:val="en-US"/>
        </w:rPr>
        <w:t>Poor</w:t>
      </w:r>
      <w:r w:rsidRPr="00554E6B">
        <w:t>’</w:t>
      </w:r>
      <w:r>
        <w:rPr>
          <w:lang w:val="en-US"/>
        </w:rPr>
        <w:t>s</w:t>
      </w:r>
      <w:r>
        <w:t>. В итоге рейтинг по международной шкале повысился на две ступени: с уровня «</w:t>
      </w:r>
      <w:proofErr w:type="gramStart"/>
      <w:r>
        <w:t>В</w:t>
      </w:r>
      <w:proofErr w:type="gramEnd"/>
      <w:r>
        <w:t xml:space="preserve">+» </w:t>
      </w:r>
      <w:proofErr w:type="gramStart"/>
      <w:r>
        <w:t>до</w:t>
      </w:r>
      <w:proofErr w:type="gramEnd"/>
      <w:r>
        <w:t xml:space="preserve"> уровня «ВВ», а рейтинг по национальной шкале – на три ступени - с уровня «</w:t>
      </w:r>
      <w:proofErr w:type="spellStart"/>
      <w:r>
        <w:rPr>
          <w:lang w:val="en-US"/>
        </w:rPr>
        <w:t>ruA</w:t>
      </w:r>
      <w:proofErr w:type="spellEnd"/>
      <w:r>
        <w:t>» до уровня «</w:t>
      </w:r>
      <w:proofErr w:type="spellStart"/>
      <w:r>
        <w:rPr>
          <w:lang w:val="en-US"/>
        </w:rPr>
        <w:t>ruAA</w:t>
      </w:r>
      <w:proofErr w:type="spellEnd"/>
      <w:r>
        <w:t>». Кроме того, агентством «Эксперт РА» рейтинг инвестиционной привлекательности Томской области подтвержден на уровне 3В1 «пониженный потенциал – умеренный риск», ранг инвестиционного потенциала сохранен на уровне 41, а оценка инвестиционного риска в рейтинге 2011/2010 снижена на 13 единиц и составила 20 (в 2010/2009 - 33).</w:t>
      </w:r>
    </w:p>
    <w:p w:rsidR="00C83EEA" w:rsidRPr="0049089C" w:rsidRDefault="00C83EEA" w:rsidP="00C83EEA">
      <w:pPr>
        <w:spacing w:line="25" w:lineRule="atLeast"/>
        <w:ind w:firstLine="720"/>
        <w:jc w:val="both"/>
      </w:pPr>
      <w:r>
        <w:t>О</w:t>
      </w:r>
      <w:r w:rsidRPr="00555BB1">
        <w:t>сновной целью бюджетной политики Томской области на 201</w:t>
      </w:r>
      <w:r>
        <w:t>3</w:t>
      </w:r>
      <w:r w:rsidRPr="00555BB1">
        <w:t>-201</w:t>
      </w:r>
      <w:r>
        <w:t>5</w:t>
      </w:r>
      <w:r w:rsidRPr="00555BB1">
        <w:t xml:space="preserve"> годы является</w:t>
      </w:r>
      <w:r>
        <w:t xml:space="preserve"> повышение эффективности бюджетных расходов в условиях преемственности курса на обеспечение </w:t>
      </w:r>
      <w:r w:rsidRPr="00555BB1">
        <w:t xml:space="preserve">долгосрочной сбалансированности и устойчивости </w:t>
      </w:r>
      <w:r>
        <w:t xml:space="preserve">региональных и муниципальных финансов Томской области. Одной из задач, решение которой требуется для достижения поставленных целей, является расширение программно-целевого принципа при формировании областного бюджета на очередной финансовый год и на плановый период. Так, с 2013 года предлагается утверждение в составе закона о бюджете не только долгосрочных и региональных целевых программ, но и ведомственных целевых программ. При этом перечень и объемы финансирования ведомственных целевых программ не вынесены в отдельное приложение, а сам механизм формирования расходных обязательств и включения их в </w:t>
      </w:r>
      <w:r w:rsidRPr="0049089C">
        <w:t>законопроект требует необходимости приведения в соответствие действующему бюджетному законодательству. Анализ объемов финансирования целевых программ, учтенных в законопроекте, приведен в соответствующем разделе настоящего Заключения.</w:t>
      </w:r>
    </w:p>
    <w:p w:rsidR="00C83EEA" w:rsidRDefault="00C83EEA" w:rsidP="00C83EEA">
      <w:pPr>
        <w:tabs>
          <w:tab w:val="left" w:pos="900"/>
        </w:tabs>
        <w:ind w:firstLine="720"/>
        <w:jc w:val="both"/>
      </w:pPr>
      <w:r>
        <w:t xml:space="preserve">Основными целями налоговой политики </w:t>
      </w:r>
      <w:r w:rsidRPr="000615EA">
        <w:t>Томской области</w:t>
      </w:r>
      <w:r>
        <w:t xml:space="preserve"> </w:t>
      </w:r>
      <w:r w:rsidRPr="000615EA">
        <w:t>в 201</w:t>
      </w:r>
      <w:r>
        <w:t>3</w:t>
      </w:r>
      <w:r w:rsidRPr="000615EA">
        <w:t xml:space="preserve"> году и пл</w:t>
      </w:r>
      <w:r w:rsidRPr="000615EA">
        <w:t>а</w:t>
      </w:r>
      <w:r w:rsidRPr="000615EA">
        <w:t>новом периоде 201</w:t>
      </w:r>
      <w:r>
        <w:t>4</w:t>
      </w:r>
      <w:r w:rsidRPr="000615EA">
        <w:t xml:space="preserve"> и 201</w:t>
      </w:r>
      <w:r>
        <w:t>5</w:t>
      </w:r>
      <w:r w:rsidRPr="000615EA">
        <w:t xml:space="preserve"> годов по данным Администрации</w:t>
      </w:r>
      <w:r>
        <w:t xml:space="preserve"> продолжают оставаться стимулирование экономического роста в регионе и создание дополнительных рабочих мест. В среднесрочной перспективе возможно принятие точечных мер по предоставлению налоговых преференций. Поэтапная отмена льгот и установление пониженных налоговых ставок по налогу на имущество организаций приведет к дополнительных доходам областного бюджета в 2013 году по оценке Администрации в сумме 170,4 </w:t>
      </w:r>
      <w:proofErr w:type="spellStart"/>
      <w:r>
        <w:t>млн</w:t>
      </w:r>
      <w:proofErr w:type="gramStart"/>
      <w:r>
        <w:t>.р</w:t>
      </w:r>
      <w:proofErr w:type="gramEnd"/>
      <w:r>
        <w:t>уб</w:t>
      </w:r>
      <w:proofErr w:type="spellEnd"/>
      <w:r>
        <w:t xml:space="preserve">. Одновременно разработка и принятие законопроекта по дифференциации налоговых ставок по налогу, взимаемому в связи с применением упрощенной системы налогообложения на первоначальном этапе (2013 год) приведет к сокращению доходов областного бюджета на 28,8 </w:t>
      </w:r>
      <w:proofErr w:type="spellStart"/>
      <w:r>
        <w:t>млн</w:t>
      </w:r>
      <w:proofErr w:type="gramStart"/>
      <w:r>
        <w:t>.р</w:t>
      </w:r>
      <w:proofErr w:type="gramEnd"/>
      <w:r>
        <w:t>уб</w:t>
      </w:r>
      <w:proofErr w:type="spellEnd"/>
      <w:r>
        <w:t>.</w:t>
      </w:r>
    </w:p>
    <w:p w:rsidR="00C83EEA" w:rsidRDefault="00C83EEA" w:rsidP="00C83EEA">
      <w:pPr>
        <w:tabs>
          <w:tab w:val="left" w:pos="900"/>
        </w:tabs>
        <w:ind w:firstLine="720"/>
        <w:jc w:val="both"/>
      </w:pPr>
      <w:r>
        <w:t>Увеличение ставок на уровень инфляции планируется по транспортному налогу, что, однако, с учетом уровня собираемости налога, по прогнозам Администрации, не приведет к увеличению поступлений в областной бюджет.</w:t>
      </w:r>
    </w:p>
    <w:p w:rsidR="00C83EEA" w:rsidRDefault="00C83EEA" w:rsidP="00C83EEA"/>
    <w:p w:rsidR="00C83EEA" w:rsidRDefault="00C83EEA" w:rsidP="00C83EEA">
      <w:pPr>
        <w:spacing w:line="25" w:lineRule="atLeast"/>
        <w:ind w:firstLine="708"/>
        <w:jc w:val="both"/>
      </w:pPr>
      <w:r>
        <w:rPr>
          <w:b/>
        </w:rPr>
        <w:t xml:space="preserve">3. </w:t>
      </w:r>
      <w:r w:rsidRPr="00EC2B40">
        <w:rPr>
          <w:b/>
        </w:rPr>
        <w:t xml:space="preserve">Анализ </w:t>
      </w:r>
      <w:proofErr w:type="gramStart"/>
      <w:r w:rsidRPr="00EC2B40">
        <w:rPr>
          <w:b/>
        </w:rPr>
        <w:t>параметров исходных макроэкономических показателей прогноза социально-экономического развития Томской области</w:t>
      </w:r>
      <w:proofErr w:type="gramEnd"/>
      <w:r>
        <w:rPr>
          <w:b/>
        </w:rPr>
        <w:t>.</w:t>
      </w:r>
    </w:p>
    <w:p w:rsidR="00C83EEA" w:rsidRDefault="00C83EEA" w:rsidP="00C83EEA">
      <w:pPr>
        <w:spacing w:before="120" w:line="25" w:lineRule="atLeast"/>
        <w:ind w:firstLine="709"/>
        <w:jc w:val="both"/>
      </w:pPr>
      <w:r>
        <w:t xml:space="preserve">В представленном Администрацией прогнозе основных показателей социально-экономического развития области ожидаемый объем валового регионального продукта (ВРП) за 2012 год оценивается в номинальном выражении 362,9 </w:t>
      </w:r>
      <w:proofErr w:type="spellStart"/>
      <w:r>
        <w:t>млрд</w:t>
      </w:r>
      <w:proofErr w:type="gramStart"/>
      <w:r>
        <w:t>.р</w:t>
      </w:r>
      <w:proofErr w:type="gramEnd"/>
      <w:r>
        <w:t>уб</w:t>
      </w:r>
      <w:proofErr w:type="spellEnd"/>
      <w:r>
        <w:t xml:space="preserve">., в реальном выражении 102,8%, индекс-дефлятор – 107,0%, при прогнозных значениях, используемых при составлении проекта областного бюджета на 2012 год, – 355,1 </w:t>
      </w:r>
      <w:proofErr w:type="spellStart"/>
      <w:r>
        <w:t>млрд.руб</w:t>
      </w:r>
      <w:proofErr w:type="spellEnd"/>
      <w:r>
        <w:t>., 104,3% и 106,0% соответственно (Приложения 1 и 2 к настоящему Заключению).</w:t>
      </w:r>
    </w:p>
    <w:p w:rsidR="00C83EEA" w:rsidRDefault="00C83EEA" w:rsidP="00C83EEA">
      <w:pPr>
        <w:ind w:firstLine="708"/>
        <w:jc w:val="both"/>
      </w:pPr>
      <w:r>
        <w:t xml:space="preserve">Темпы прироста объемов ВРП на 2013–2015 годы прогнозируются в размере 3,8%, 3,8% и 4,7%, а индексы-дефляторы запланированы в размере 106,2%, 105,0% и 104,9% </w:t>
      </w:r>
      <w:r>
        <w:lastRenderedPageBreak/>
        <w:t xml:space="preserve">соответственно. В целом динамика изменения реального объема ВРП соответствует общему тренду уровня ВВП России, при этом по итогам 2010 и 2011 годов уровень ВРП области на 0,2 и 0,6 </w:t>
      </w:r>
      <w:proofErr w:type="spellStart"/>
      <w:r>
        <w:t>п.п</w:t>
      </w:r>
      <w:proofErr w:type="spellEnd"/>
      <w:r>
        <w:t>. соответственно опережал аналогичный показатель по России.</w:t>
      </w:r>
    </w:p>
    <w:p w:rsidR="00C83EEA" w:rsidRDefault="00C83EEA" w:rsidP="00C83EEA">
      <w:pPr>
        <w:spacing w:line="25" w:lineRule="atLeast"/>
        <w:ind w:firstLine="708"/>
        <w:jc w:val="both"/>
      </w:pPr>
      <w:r>
        <w:t xml:space="preserve">В то же время наглядное соотнесение показателей ВРП Томской области и ВВП России указывает на неоднозначное толкование прогнозных показателей на 2012 год. Так, при плановом значении реального ВРП области, используемом при подготовке проекта областного бюджета на 2012 год в размере 104,3%, по истечении 1 полугодия Администрацией области предлагается понизить прогнозное значение ВРП на текущий год до 102,8%, или на 1,5 </w:t>
      </w:r>
      <w:proofErr w:type="spellStart"/>
      <w:r>
        <w:t>п.п</w:t>
      </w:r>
      <w:proofErr w:type="spellEnd"/>
      <w:r>
        <w:t>., при прогнозе Минэкономразвития по России на 2012 год – 103,5%.</w:t>
      </w:r>
    </w:p>
    <w:p w:rsidR="00C83EEA" w:rsidRDefault="00C83EEA" w:rsidP="00C83EEA">
      <w:pPr>
        <w:spacing w:line="25" w:lineRule="atLeast"/>
        <w:ind w:firstLine="708"/>
        <w:jc w:val="both"/>
      </w:pPr>
      <w:r>
        <w:t xml:space="preserve">Анализ выполнения плана по основным макроэкономическим показателям за 1 квартал, 1 полугодие и 8 месяцев текущего года позволяет сделать вывод об отсутствии предпосылок  в пессимистичном прогнозе экономического развития региона. Так, индекс промышленного производства при некотором снижении в 1 квартале 2012 года, начиная с апреля, показывает незначительный, но устойчивый рост к уровню прошлого года. Положительная  динамика индексов </w:t>
      </w:r>
      <w:proofErr w:type="spellStart"/>
      <w:r>
        <w:t>промпроизводства</w:t>
      </w:r>
      <w:proofErr w:type="spellEnd"/>
      <w:r>
        <w:t xml:space="preserve"> (стр.12 материалов и документов к проекту бюджета, часть </w:t>
      </w:r>
      <w:r>
        <w:rPr>
          <w:lang w:val="en-US"/>
        </w:rPr>
        <w:t>I</w:t>
      </w:r>
      <w:r>
        <w:t xml:space="preserve">) подтверждает позитивные перспективы посткризисного восстановления и развития промышленного производства Томской области. </w:t>
      </w:r>
    </w:p>
    <w:p w:rsidR="00C83EEA" w:rsidRDefault="00C83EEA" w:rsidP="00C83EEA">
      <w:pPr>
        <w:spacing w:line="25" w:lineRule="atLeast"/>
        <w:ind w:firstLine="708"/>
        <w:jc w:val="both"/>
      </w:pPr>
      <w:r>
        <w:t xml:space="preserve">Индекс потребительских цен в 1 полугодии не превышал 105,0%, и только в июне-августе </w:t>
      </w:r>
      <w:proofErr w:type="spellStart"/>
      <w:r>
        <w:t>т.г</w:t>
      </w:r>
      <w:proofErr w:type="spellEnd"/>
      <w:r>
        <w:t xml:space="preserve">. его рост составил 105,4-106,2%, что в целом имеет низкое значение в сравнении с аналогичными значениями за соответствующие периоды 2011 года. Второе полугодие 2012 года может характеризоваться ростом инфляции, связанным с удорожанием продукции нового урожая, а также индексацией тарифов в сфере ЖКХ. </w:t>
      </w:r>
    </w:p>
    <w:p w:rsidR="00C83EEA" w:rsidRDefault="00C83EEA" w:rsidP="00C83EEA">
      <w:pPr>
        <w:spacing w:line="25" w:lineRule="atLeast"/>
        <w:ind w:firstLine="708"/>
        <w:jc w:val="both"/>
      </w:pPr>
      <w:r>
        <w:t>Динамика изменения индекса потребительских цен в Томской области в целом соответствует общероссийскому тренду.</w:t>
      </w:r>
    </w:p>
    <w:p w:rsidR="00C83EEA" w:rsidRDefault="00C83EEA" w:rsidP="00C83EEA">
      <w:pPr>
        <w:spacing w:line="25" w:lineRule="atLeast"/>
        <w:ind w:firstLine="708"/>
        <w:jc w:val="both"/>
      </w:pPr>
      <w:r>
        <w:rPr>
          <w:noProof/>
        </w:rPr>
        <w:drawing>
          <wp:inline distT="0" distB="0" distL="0" distR="0">
            <wp:extent cx="5400675" cy="286702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00675" cy="2867025"/>
                    </a:xfrm>
                    <a:prstGeom prst="rect">
                      <a:avLst/>
                    </a:prstGeom>
                    <a:noFill/>
                    <a:ln>
                      <a:noFill/>
                    </a:ln>
                  </pic:spPr>
                </pic:pic>
              </a:graphicData>
            </a:graphic>
          </wp:inline>
        </w:drawing>
      </w:r>
    </w:p>
    <w:p w:rsidR="00C83EEA" w:rsidRPr="00063FA8" w:rsidRDefault="00C83EEA" w:rsidP="00C83EEA">
      <w:pPr>
        <w:spacing w:line="25" w:lineRule="atLeast"/>
        <w:ind w:firstLine="708"/>
        <w:jc w:val="both"/>
      </w:pPr>
    </w:p>
    <w:p w:rsidR="00C83EEA" w:rsidRDefault="00C83EEA" w:rsidP="00C83EEA">
      <w:pPr>
        <w:ind w:firstLine="708"/>
        <w:jc w:val="both"/>
      </w:pPr>
      <w:r>
        <w:t>Учитывая факторы, влияющие на формирование инфляционных процессов, официальные данные по уровню инфляции в 2010-2011 годах и помесячные значения индекса потребительских цен в 2012 году, вполне реалистичным представляется прогноз по итогам года - 106,5-107,0 % - с сохранением общероссийской тенденции к постепенному снижению в 2013-2015 годы.</w:t>
      </w:r>
    </w:p>
    <w:p w:rsidR="00C83EEA" w:rsidRDefault="00C83EEA" w:rsidP="00C83EEA">
      <w:pPr>
        <w:spacing w:line="25" w:lineRule="atLeast"/>
        <w:ind w:firstLine="708"/>
        <w:jc w:val="both"/>
      </w:pPr>
      <w:r>
        <w:t>Динамика инвестиций в основной капитал в январе-июле 2012 года остается нестабильной, в то же время по итогам 1 полугодия 2012 года объем инвестиций в основной капитал превысил аналогичный период 2011 года на 12,8%, и по оценке Администрации по итогам года прирост к уровню 2011 года может составить 3,4%.</w:t>
      </w:r>
    </w:p>
    <w:p w:rsidR="00C83EEA" w:rsidRDefault="00C83EEA" w:rsidP="00C83EEA">
      <w:pPr>
        <w:spacing w:line="25" w:lineRule="atLeast"/>
        <w:ind w:firstLine="708"/>
        <w:jc w:val="both"/>
      </w:pPr>
      <w:r>
        <w:lastRenderedPageBreak/>
        <w:t>В целом общая тенденция экономического развития области в 2012 году свидетельствует о некотором замедлении, в частности по виду экономической деятельности «строительство», объему платных услуг населению и обороту оптовой торговли. Одновременно за 8 месяцев текущего года показатели промышленного производства, продукции сельского хозяйства, оборота розничной торговли опережают данные за аналогичный период 2011 года. Это позволяет оценивать прогноз текущего года как осторожно-оптимистичный, что также подтверждается данными, изложенными в материалах и документах, прилагаемых к законопроекту, и данными статистики (таблица 1).</w:t>
      </w:r>
    </w:p>
    <w:p w:rsidR="00C83EEA" w:rsidRPr="000421C7" w:rsidRDefault="00C83EEA" w:rsidP="00C83EEA">
      <w:pPr>
        <w:spacing w:line="25" w:lineRule="atLeast"/>
        <w:jc w:val="both"/>
      </w:pPr>
      <w:r>
        <w:tab/>
      </w:r>
      <w:r>
        <w:tab/>
      </w:r>
      <w:r>
        <w:tab/>
      </w:r>
      <w:r>
        <w:tab/>
      </w:r>
      <w:r>
        <w:tab/>
      </w:r>
      <w:r>
        <w:tab/>
      </w:r>
      <w:r>
        <w:tab/>
      </w:r>
      <w:r>
        <w:tab/>
      </w:r>
      <w:r>
        <w:tab/>
      </w:r>
      <w:r>
        <w:tab/>
      </w:r>
      <w:r>
        <w:tab/>
        <w:t>Т</w:t>
      </w:r>
      <w:r w:rsidRPr="000421C7">
        <w:t>аблица 1</w:t>
      </w:r>
      <w:r>
        <w:t xml:space="preserve">, % </w:t>
      </w:r>
    </w:p>
    <w:tbl>
      <w:tblPr>
        <w:tblW w:w="937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20"/>
        <w:gridCol w:w="1163"/>
        <w:gridCol w:w="1163"/>
        <w:gridCol w:w="1268"/>
        <w:gridCol w:w="1163"/>
        <w:gridCol w:w="1162"/>
        <w:gridCol w:w="1136"/>
      </w:tblGrid>
      <w:tr w:rsidR="00C83EEA" w:rsidTr="009F24E6">
        <w:trPr>
          <w:trHeight w:val="208"/>
          <w:tblHeader/>
        </w:trPr>
        <w:tc>
          <w:tcPr>
            <w:tcW w:w="2320" w:type="dxa"/>
            <w:vMerge w:val="restart"/>
            <w:shd w:val="clear" w:color="auto" w:fill="auto"/>
          </w:tcPr>
          <w:p w:rsidR="00C83EEA" w:rsidRDefault="00C83EEA" w:rsidP="009F24E6">
            <w:pPr>
              <w:jc w:val="center"/>
              <w:rPr>
                <w:b/>
                <w:bCs/>
                <w:sz w:val="18"/>
                <w:szCs w:val="18"/>
              </w:rPr>
            </w:pPr>
            <w:r>
              <w:rPr>
                <w:b/>
                <w:bCs/>
                <w:sz w:val="18"/>
                <w:szCs w:val="18"/>
              </w:rPr>
              <w:t>Наименование показателя</w:t>
            </w:r>
          </w:p>
        </w:tc>
        <w:tc>
          <w:tcPr>
            <w:tcW w:w="2326" w:type="dxa"/>
            <w:gridSpan w:val="2"/>
            <w:shd w:val="clear" w:color="auto" w:fill="auto"/>
          </w:tcPr>
          <w:p w:rsidR="00C83EEA" w:rsidRDefault="00C83EEA" w:rsidP="009F24E6">
            <w:pPr>
              <w:jc w:val="center"/>
              <w:rPr>
                <w:b/>
                <w:bCs/>
                <w:sz w:val="18"/>
                <w:szCs w:val="18"/>
              </w:rPr>
            </w:pPr>
            <w:r>
              <w:rPr>
                <w:b/>
                <w:bCs/>
                <w:sz w:val="18"/>
                <w:szCs w:val="18"/>
              </w:rPr>
              <w:t>январь-март</w:t>
            </w:r>
          </w:p>
        </w:tc>
        <w:tc>
          <w:tcPr>
            <w:tcW w:w="2431" w:type="dxa"/>
            <w:gridSpan w:val="2"/>
            <w:shd w:val="clear" w:color="auto" w:fill="auto"/>
          </w:tcPr>
          <w:p w:rsidR="00C83EEA" w:rsidRDefault="00C83EEA" w:rsidP="009F24E6">
            <w:pPr>
              <w:jc w:val="center"/>
              <w:rPr>
                <w:b/>
                <w:bCs/>
                <w:sz w:val="18"/>
                <w:szCs w:val="18"/>
              </w:rPr>
            </w:pPr>
            <w:r>
              <w:rPr>
                <w:b/>
                <w:bCs/>
                <w:sz w:val="18"/>
                <w:szCs w:val="18"/>
              </w:rPr>
              <w:t>январь-июнь</w:t>
            </w:r>
          </w:p>
        </w:tc>
        <w:tc>
          <w:tcPr>
            <w:tcW w:w="2298" w:type="dxa"/>
            <w:gridSpan w:val="2"/>
          </w:tcPr>
          <w:p w:rsidR="00C83EEA" w:rsidRDefault="00C83EEA" w:rsidP="009F24E6">
            <w:pPr>
              <w:jc w:val="center"/>
              <w:rPr>
                <w:b/>
                <w:bCs/>
                <w:sz w:val="18"/>
                <w:szCs w:val="18"/>
              </w:rPr>
            </w:pPr>
            <w:r>
              <w:rPr>
                <w:b/>
                <w:bCs/>
                <w:sz w:val="18"/>
                <w:szCs w:val="18"/>
              </w:rPr>
              <w:t>январь-август</w:t>
            </w:r>
          </w:p>
        </w:tc>
      </w:tr>
      <w:tr w:rsidR="00C83EEA" w:rsidTr="009F24E6">
        <w:trPr>
          <w:trHeight w:val="208"/>
          <w:tblHeader/>
        </w:trPr>
        <w:tc>
          <w:tcPr>
            <w:tcW w:w="2320" w:type="dxa"/>
            <w:vMerge/>
            <w:vAlign w:val="center"/>
          </w:tcPr>
          <w:p w:rsidR="00C83EEA" w:rsidRDefault="00C83EEA" w:rsidP="009F24E6">
            <w:pPr>
              <w:rPr>
                <w:b/>
                <w:bCs/>
                <w:sz w:val="18"/>
                <w:szCs w:val="18"/>
              </w:rPr>
            </w:pPr>
          </w:p>
        </w:tc>
        <w:tc>
          <w:tcPr>
            <w:tcW w:w="1163" w:type="dxa"/>
            <w:shd w:val="clear" w:color="auto" w:fill="auto"/>
          </w:tcPr>
          <w:p w:rsidR="00C83EEA" w:rsidRDefault="00C83EEA" w:rsidP="009F24E6">
            <w:pPr>
              <w:jc w:val="center"/>
              <w:rPr>
                <w:b/>
                <w:bCs/>
                <w:sz w:val="18"/>
                <w:szCs w:val="18"/>
              </w:rPr>
            </w:pPr>
            <w:r>
              <w:rPr>
                <w:b/>
                <w:bCs/>
                <w:sz w:val="18"/>
                <w:szCs w:val="18"/>
              </w:rPr>
              <w:t>2011 год</w:t>
            </w:r>
          </w:p>
        </w:tc>
        <w:tc>
          <w:tcPr>
            <w:tcW w:w="1163" w:type="dxa"/>
            <w:shd w:val="clear" w:color="auto" w:fill="auto"/>
          </w:tcPr>
          <w:p w:rsidR="00C83EEA" w:rsidRDefault="00C83EEA" w:rsidP="009F24E6">
            <w:pPr>
              <w:jc w:val="center"/>
              <w:rPr>
                <w:b/>
                <w:bCs/>
                <w:sz w:val="18"/>
                <w:szCs w:val="18"/>
              </w:rPr>
            </w:pPr>
            <w:r>
              <w:rPr>
                <w:b/>
                <w:bCs/>
                <w:sz w:val="18"/>
                <w:szCs w:val="18"/>
              </w:rPr>
              <w:t>2012 год</w:t>
            </w:r>
          </w:p>
        </w:tc>
        <w:tc>
          <w:tcPr>
            <w:tcW w:w="1268" w:type="dxa"/>
            <w:shd w:val="clear" w:color="auto" w:fill="auto"/>
          </w:tcPr>
          <w:p w:rsidR="00C83EEA" w:rsidRDefault="00C83EEA" w:rsidP="009F24E6">
            <w:pPr>
              <w:jc w:val="center"/>
              <w:rPr>
                <w:b/>
                <w:bCs/>
                <w:sz w:val="18"/>
                <w:szCs w:val="18"/>
              </w:rPr>
            </w:pPr>
            <w:r>
              <w:rPr>
                <w:b/>
                <w:bCs/>
                <w:sz w:val="18"/>
                <w:szCs w:val="18"/>
              </w:rPr>
              <w:t>2011 год</w:t>
            </w:r>
          </w:p>
        </w:tc>
        <w:tc>
          <w:tcPr>
            <w:tcW w:w="1163" w:type="dxa"/>
            <w:shd w:val="clear" w:color="auto" w:fill="auto"/>
          </w:tcPr>
          <w:p w:rsidR="00C83EEA" w:rsidRDefault="00C83EEA" w:rsidP="009F24E6">
            <w:pPr>
              <w:jc w:val="center"/>
              <w:rPr>
                <w:b/>
                <w:bCs/>
                <w:sz w:val="18"/>
                <w:szCs w:val="18"/>
              </w:rPr>
            </w:pPr>
            <w:r>
              <w:rPr>
                <w:b/>
                <w:bCs/>
                <w:sz w:val="18"/>
                <w:szCs w:val="18"/>
              </w:rPr>
              <w:t>2012 год</w:t>
            </w:r>
          </w:p>
        </w:tc>
        <w:tc>
          <w:tcPr>
            <w:tcW w:w="1162" w:type="dxa"/>
            <w:shd w:val="clear" w:color="auto" w:fill="auto"/>
          </w:tcPr>
          <w:p w:rsidR="00C83EEA" w:rsidRDefault="00C83EEA" w:rsidP="009F24E6">
            <w:pPr>
              <w:jc w:val="center"/>
              <w:rPr>
                <w:b/>
                <w:bCs/>
                <w:sz w:val="18"/>
                <w:szCs w:val="18"/>
              </w:rPr>
            </w:pPr>
            <w:r>
              <w:rPr>
                <w:b/>
                <w:bCs/>
                <w:sz w:val="18"/>
                <w:szCs w:val="18"/>
              </w:rPr>
              <w:t>2011 год</w:t>
            </w:r>
          </w:p>
        </w:tc>
        <w:tc>
          <w:tcPr>
            <w:tcW w:w="1136" w:type="dxa"/>
            <w:shd w:val="clear" w:color="auto" w:fill="auto"/>
          </w:tcPr>
          <w:p w:rsidR="00C83EEA" w:rsidRDefault="00C83EEA" w:rsidP="009F24E6">
            <w:pPr>
              <w:jc w:val="center"/>
              <w:rPr>
                <w:b/>
                <w:bCs/>
                <w:sz w:val="18"/>
                <w:szCs w:val="18"/>
              </w:rPr>
            </w:pPr>
            <w:r>
              <w:rPr>
                <w:b/>
                <w:bCs/>
                <w:sz w:val="18"/>
                <w:szCs w:val="18"/>
              </w:rPr>
              <w:t>2012 год</w:t>
            </w:r>
          </w:p>
        </w:tc>
      </w:tr>
      <w:tr w:rsidR="00C83EEA" w:rsidTr="009F24E6">
        <w:trPr>
          <w:trHeight w:val="208"/>
        </w:trPr>
        <w:tc>
          <w:tcPr>
            <w:tcW w:w="2320" w:type="dxa"/>
            <w:vMerge w:val="restart"/>
            <w:shd w:val="clear" w:color="auto" w:fill="auto"/>
          </w:tcPr>
          <w:p w:rsidR="00C83EEA" w:rsidRDefault="00C83EEA" w:rsidP="009F24E6">
            <w:pPr>
              <w:rPr>
                <w:sz w:val="18"/>
                <w:szCs w:val="18"/>
              </w:rPr>
            </w:pPr>
            <w:r>
              <w:rPr>
                <w:sz w:val="18"/>
                <w:szCs w:val="18"/>
              </w:rPr>
              <w:t>Промышленное производство</w:t>
            </w:r>
          </w:p>
        </w:tc>
        <w:tc>
          <w:tcPr>
            <w:tcW w:w="1163" w:type="dxa"/>
            <w:shd w:val="clear" w:color="auto" w:fill="auto"/>
          </w:tcPr>
          <w:p w:rsidR="00C83EEA" w:rsidRDefault="00C83EEA" w:rsidP="009F24E6">
            <w:pPr>
              <w:jc w:val="right"/>
              <w:rPr>
                <w:sz w:val="18"/>
                <w:szCs w:val="18"/>
              </w:rPr>
            </w:pPr>
            <w:r>
              <w:rPr>
                <w:sz w:val="18"/>
                <w:szCs w:val="18"/>
              </w:rPr>
              <w:t>103,9</w:t>
            </w:r>
          </w:p>
        </w:tc>
        <w:tc>
          <w:tcPr>
            <w:tcW w:w="1163" w:type="dxa"/>
            <w:shd w:val="clear" w:color="auto" w:fill="auto"/>
          </w:tcPr>
          <w:p w:rsidR="00C83EEA" w:rsidRDefault="00C83EEA" w:rsidP="009F24E6">
            <w:pPr>
              <w:jc w:val="right"/>
              <w:rPr>
                <w:sz w:val="18"/>
                <w:szCs w:val="18"/>
              </w:rPr>
            </w:pPr>
            <w:r>
              <w:rPr>
                <w:sz w:val="18"/>
                <w:szCs w:val="18"/>
              </w:rPr>
              <w:t>102,7</w:t>
            </w:r>
          </w:p>
        </w:tc>
        <w:tc>
          <w:tcPr>
            <w:tcW w:w="1268" w:type="dxa"/>
            <w:shd w:val="clear" w:color="auto" w:fill="auto"/>
          </w:tcPr>
          <w:p w:rsidR="00C83EEA" w:rsidRDefault="00C83EEA" w:rsidP="009F24E6">
            <w:pPr>
              <w:rPr>
                <w:sz w:val="18"/>
                <w:szCs w:val="18"/>
              </w:rPr>
            </w:pPr>
            <w:r>
              <w:rPr>
                <w:sz w:val="18"/>
                <w:szCs w:val="18"/>
              </w:rPr>
              <w:t> </w:t>
            </w:r>
          </w:p>
        </w:tc>
        <w:tc>
          <w:tcPr>
            <w:tcW w:w="1163" w:type="dxa"/>
            <w:shd w:val="clear" w:color="auto" w:fill="auto"/>
          </w:tcPr>
          <w:p w:rsidR="00C83EEA" w:rsidRDefault="00C83EEA" w:rsidP="009F24E6">
            <w:pPr>
              <w:rPr>
                <w:sz w:val="18"/>
                <w:szCs w:val="18"/>
              </w:rPr>
            </w:pPr>
            <w:r>
              <w:rPr>
                <w:sz w:val="18"/>
                <w:szCs w:val="18"/>
              </w:rPr>
              <w:t> </w:t>
            </w:r>
          </w:p>
        </w:tc>
        <w:tc>
          <w:tcPr>
            <w:tcW w:w="1162" w:type="dxa"/>
            <w:shd w:val="clear" w:color="auto" w:fill="auto"/>
          </w:tcPr>
          <w:p w:rsidR="00C83EEA" w:rsidRDefault="00C83EEA" w:rsidP="009F24E6">
            <w:pPr>
              <w:rPr>
                <w:sz w:val="18"/>
                <w:szCs w:val="18"/>
              </w:rPr>
            </w:pPr>
          </w:p>
        </w:tc>
        <w:tc>
          <w:tcPr>
            <w:tcW w:w="1136" w:type="dxa"/>
            <w:shd w:val="clear" w:color="auto" w:fill="auto"/>
          </w:tcPr>
          <w:p w:rsidR="00C83EEA" w:rsidRDefault="00C83EEA" w:rsidP="009F24E6">
            <w:pPr>
              <w:rPr>
                <w:sz w:val="18"/>
                <w:szCs w:val="18"/>
              </w:rPr>
            </w:pPr>
          </w:p>
        </w:tc>
      </w:tr>
      <w:tr w:rsidR="00C83EEA" w:rsidTr="009F24E6">
        <w:trPr>
          <w:trHeight w:val="208"/>
        </w:trPr>
        <w:tc>
          <w:tcPr>
            <w:tcW w:w="2320" w:type="dxa"/>
            <w:vMerge/>
            <w:vAlign w:val="center"/>
          </w:tcPr>
          <w:p w:rsidR="00C83EEA" w:rsidRDefault="00C83EEA" w:rsidP="009F24E6">
            <w:pPr>
              <w:rPr>
                <w:sz w:val="18"/>
                <w:szCs w:val="18"/>
              </w:rPr>
            </w:pPr>
          </w:p>
        </w:tc>
        <w:tc>
          <w:tcPr>
            <w:tcW w:w="1163" w:type="dxa"/>
            <w:shd w:val="clear" w:color="auto" w:fill="auto"/>
          </w:tcPr>
          <w:p w:rsidR="00C83EEA" w:rsidRDefault="00C83EEA" w:rsidP="009F24E6">
            <w:pPr>
              <w:rPr>
                <w:sz w:val="18"/>
                <w:szCs w:val="18"/>
              </w:rPr>
            </w:pPr>
            <w:r>
              <w:rPr>
                <w:sz w:val="18"/>
                <w:szCs w:val="18"/>
              </w:rPr>
              <w:t> </w:t>
            </w:r>
          </w:p>
        </w:tc>
        <w:tc>
          <w:tcPr>
            <w:tcW w:w="1163" w:type="dxa"/>
            <w:shd w:val="clear" w:color="auto" w:fill="auto"/>
          </w:tcPr>
          <w:p w:rsidR="00C83EEA" w:rsidRDefault="00C83EEA" w:rsidP="009F24E6">
            <w:pPr>
              <w:rPr>
                <w:sz w:val="18"/>
                <w:szCs w:val="18"/>
              </w:rPr>
            </w:pPr>
            <w:r>
              <w:rPr>
                <w:sz w:val="18"/>
                <w:szCs w:val="18"/>
              </w:rPr>
              <w:t> </w:t>
            </w:r>
          </w:p>
        </w:tc>
        <w:tc>
          <w:tcPr>
            <w:tcW w:w="1268" w:type="dxa"/>
            <w:shd w:val="clear" w:color="auto" w:fill="auto"/>
          </w:tcPr>
          <w:p w:rsidR="00C83EEA" w:rsidRDefault="00C83EEA" w:rsidP="009F24E6">
            <w:pPr>
              <w:jc w:val="right"/>
              <w:rPr>
                <w:sz w:val="18"/>
                <w:szCs w:val="18"/>
              </w:rPr>
            </w:pPr>
            <w:r>
              <w:rPr>
                <w:sz w:val="18"/>
                <w:szCs w:val="18"/>
              </w:rPr>
              <w:t>103,5</w:t>
            </w:r>
          </w:p>
        </w:tc>
        <w:tc>
          <w:tcPr>
            <w:tcW w:w="1163" w:type="dxa"/>
            <w:shd w:val="clear" w:color="auto" w:fill="auto"/>
          </w:tcPr>
          <w:p w:rsidR="00C83EEA" w:rsidRDefault="00C83EEA" w:rsidP="009F24E6">
            <w:pPr>
              <w:jc w:val="right"/>
              <w:rPr>
                <w:sz w:val="18"/>
                <w:szCs w:val="18"/>
              </w:rPr>
            </w:pPr>
            <w:r>
              <w:rPr>
                <w:sz w:val="18"/>
                <w:szCs w:val="18"/>
              </w:rPr>
              <w:t>104,0</w:t>
            </w:r>
          </w:p>
        </w:tc>
        <w:tc>
          <w:tcPr>
            <w:tcW w:w="1162" w:type="dxa"/>
            <w:shd w:val="clear" w:color="auto" w:fill="auto"/>
          </w:tcPr>
          <w:p w:rsidR="00C83EEA" w:rsidRDefault="00C83EEA" w:rsidP="009F24E6">
            <w:pPr>
              <w:rPr>
                <w:sz w:val="18"/>
                <w:szCs w:val="18"/>
              </w:rPr>
            </w:pPr>
          </w:p>
        </w:tc>
        <w:tc>
          <w:tcPr>
            <w:tcW w:w="1136" w:type="dxa"/>
            <w:shd w:val="clear" w:color="auto" w:fill="auto"/>
          </w:tcPr>
          <w:p w:rsidR="00C83EEA" w:rsidRDefault="00C83EEA" w:rsidP="009F24E6">
            <w:pPr>
              <w:rPr>
                <w:sz w:val="18"/>
                <w:szCs w:val="18"/>
              </w:rPr>
            </w:pPr>
          </w:p>
        </w:tc>
      </w:tr>
      <w:tr w:rsidR="00C83EEA" w:rsidTr="009F24E6">
        <w:trPr>
          <w:trHeight w:val="208"/>
        </w:trPr>
        <w:tc>
          <w:tcPr>
            <w:tcW w:w="2320" w:type="dxa"/>
            <w:vMerge/>
            <w:vAlign w:val="center"/>
          </w:tcPr>
          <w:p w:rsidR="00C83EEA" w:rsidRDefault="00C83EEA" w:rsidP="009F24E6">
            <w:pPr>
              <w:rPr>
                <w:sz w:val="18"/>
                <w:szCs w:val="18"/>
              </w:rPr>
            </w:pPr>
          </w:p>
        </w:tc>
        <w:tc>
          <w:tcPr>
            <w:tcW w:w="1163" w:type="dxa"/>
            <w:shd w:val="clear" w:color="auto" w:fill="auto"/>
          </w:tcPr>
          <w:p w:rsidR="00C83EEA" w:rsidRDefault="00C83EEA" w:rsidP="009F24E6">
            <w:pPr>
              <w:rPr>
                <w:sz w:val="18"/>
                <w:szCs w:val="18"/>
              </w:rPr>
            </w:pPr>
          </w:p>
        </w:tc>
        <w:tc>
          <w:tcPr>
            <w:tcW w:w="1163" w:type="dxa"/>
            <w:shd w:val="clear" w:color="auto" w:fill="auto"/>
          </w:tcPr>
          <w:p w:rsidR="00C83EEA" w:rsidRDefault="00C83EEA" w:rsidP="009F24E6">
            <w:pPr>
              <w:rPr>
                <w:sz w:val="18"/>
                <w:szCs w:val="18"/>
              </w:rPr>
            </w:pPr>
          </w:p>
        </w:tc>
        <w:tc>
          <w:tcPr>
            <w:tcW w:w="1268" w:type="dxa"/>
            <w:shd w:val="clear" w:color="auto" w:fill="auto"/>
          </w:tcPr>
          <w:p w:rsidR="00C83EEA" w:rsidRDefault="00C83EEA" w:rsidP="009F24E6">
            <w:pPr>
              <w:rPr>
                <w:sz w:val="18"/>
                <w:szCs w:val="18"/>
              </w:rPr>
            </w:pPr>
          </w:p>
        </w:tc>
        <w:tc>
          <w:tcPr>
            <w:tcW w:w="1163" w:type="dxa"/>
            <w:shd w:val="clear" w:color="auto" w:fill="auto"/>
          </w:tcPr>
          <w:p w:rsidR="00C83EEA" w:rsidRDefault="00C83EEA" w:rsidP="009F24E6">
            <w:pPr>
              <w:rPr>
                <w:sz w:val="18"/>
                <w:szCs w:val="18"/>
              </w:rPr>
            </w:pPr>
          </w:p>
        </w:tc>
        <w:tc>
          <w:tcPr>
            <w:tcW w:w="1162" w:type="dxa"/>
            <w:shd w:val="clear" w:color="auto" w:fill="auto"/>
          </w:tcPr>
          <w:p w:rsidR="00C83EEA" w:rsidRDefault="00C83EEA" w:rsidP="009F24E6">
            <w:pPr>
              <w:jc w:val="right"/>
              <w:rPr>
                <w:sz w:val="18"/>
                <w:szCs w:val="18"/>
              </w:rPr>
            </w:pPr>
            <w:r>
              <w:rPr>
                <w:sz w:val="18"/>
                <w:szCs w:val="18"/>
              </w:rPr>
              <w:t>103,6</w:t>
            </w:r>
          </w:p>
        </w:tc>
        <w:tc>
          <w:tcPr>
            <w:tcW w:w="1136" w:type="dxa"/>
            <w:shd w:val="clear" w:color="auto" w:fill="auto"/>
          </w:tcPr>
          <w:p w:rsidR="00C83EEA" w:rsidRDefault="00C83EEA" w:rsidP="009F24E6">
            <w:pPr>
              <w:jc w:val="right"/>
              <w:rPr>
                <w:sz w:val="18"/>
                <w:szCs w:val="18"/>
              </w:rPr>
            </w:pPr>
            <w:r>
              <w:rPr>
                <w:sz w:val="18"/>
                <w:szCs w:val="18"/>
              </w:rPr>
              <w:t>103,7</w:t>
            </w:r>
          </w:p>
        </w:tc>
      </w:tr>
      <w:tr w:rsidR="00C83EEA" w:rsidTr="009F24E6">
        <w:trPr>
          <w:trHeight w:val="208"/>
        </w:trPr>
        <w:tc>
          <w:tcPr>
            <w:tcW w:w="2320" w:type="dxa"/>
            <w:vMerge w:val="restart"/>
            <w:shd w:val="clear" w:color="auto" w:fill="auto"/>
          </w:tcPr>
          <w:p w:rsidR="00C83EEA" w:rsidRDefault="00C83EEA" w:rsidP="009F24E6">
            <w:pPr>
              <w:rPr>
                <w:sz w:val="18"/>
                <w:szCs w:val="18"/>
              </w:rPr>
            </w:pPr>
            <w:r>
              <w:rPr>
                <w:sz w:val="18"/>
                <w:szCs w:val="18"/>
              </w:rPr>
              <w:t>Продукция сельского хозяйства</w:t>
            </w:r>
          </w:p>
        </w:tc>
        <w:tc>
          <w:tcPr>
            <w:tcW w:w="1163" w:type="dxa"/>
            <w:shd w:val="clear" w:color="auto" w:fill="auto"/>
          </w:tcPr>
          <w:p w:rsidR="00C83EEA" w:rsidRDefault="00C83EEA" w:rsidP="009F24E6">
            <w:pPr>
              <w:jc w:val="right"/>
              <w:rPr>
                <w:sz w:val="18"/>
                <w:szCs w:val="18"/>
              </w:rPr>
            </w:pPr>
            <w:r>
              <w:rPr>
                <w:sz w:val="18"/>
                <w:szCs w:val="18"/>
              </w:rPr>
              <w:t>102,3</w:t>
            </w:r>
          </w:p>
        </w:tc>
        <w:tc>
          <w:tcPr>
            <w:tcW w:w="1163" w:type="dxa"/>
            <w:shd w:val="clear" w:color="auto" w:fill="auto"/>
          </w:tcPr>
          <w:p w:rsidR="00C83EEA" w:rsidRDefault="00C83EEA" w:rsidP="009F24E6">
            <w:pPr>
              <w:jc w:val="right"/>
              <w:rPr>
                <w:sz w:val="18"/>
                <w:szCs w:val="18"/>
              </w:rPr>
            </w:pPr>
            <w:r>
              <w:rPr>
                <w:sz w:val="18"/>
                <w:szCs w:val="18"/>
              </w:rPr>
              <w:t>110,2</w:t>
            </w:r>
          </w:p>
        </w:tc>
        <w:tc>
          <w:tcPr>
            <w:tcW w:w="1268" w:type="dxa"/>
            <w:shd w:val="clear" w:color="auto" w:fill="auto"/>
          </w:tcPr>
          <w:p w:rsidR="00C83EEA" w:rsidRDefault="00C83EEA" w:rsidP="009F24E6">
            <w:pPr>
              <w:rPr>
                <w:sz w:val="18"/>
                <w:szCs w:val="18"/>
              </w:rPr>
            </w:pPr>
            <w:r>
              <w:rPr>
                <w:sz w:val="18"/>
                <w:szCs w:val="18"/>
              </w:rPr>
              <w:t> </w:t>
            </w:r>
          </w:p>
        </w:tc>
        <w:tc>
          <w:tcPr>
            <w:tcW w:w="1163" w:type="dxa"/>
            <w:shd w:val="clear" w:color="auto" w:fill="auto"/>
          </w:tcPr>
          <w:p w:rsidR="00C83EEA" w:rsidRDefault="00C83EEA" w:rsidP="009F24E6">
            <w:pPr>
              <w:rPr>
                <w:sz w:val="18"/>
                <w:szCs w:val="18"/>
              </w:rPr>
            </w:pPr>
          </w:p>
        </w:tc>
        <w:tc>
          <w:tcPr>
            <w:tcW w:w="1162" w:type="dxa"/>
            <w:shd w:val="clear" w:color="auto" w:fill="auto"/>
          </w:tcPr>
          <w:p w:rsidR="00C83EEA" w:rsidRDefault="00C83EEA" w:rsidP="009F24E6">
            <w:pPr>
              <w:rPr>
                <w:sz w:val="18"/>
                <w:szCs w:val="18"/>
              </w:rPr>
            </w:pPr>
          </w:p>
        </w:tc>
        <w:tc>
          <w:tcPr>
            <w:tcW w:w="1136" w:type="dxa"/>
            <w:shd w:val="clear" w:color="auto" w:fill="auto"/>
          </w:tcPr>
          <w:p w:rsidR="00C83EEA" w:rsidRDefault="00C83EEA" w:rsidP="009F24E6">
            <w:pPr>
              <w:rPr>
                <w:sz w:val="18"/>
                <w:szCs w:val="18"/>
              </w:rPr>
            </w:pPr>
          </w:p>
        </w:tc>
      </w:tr>
      <w:tr w:rsidR="00C83EEA" w:rsidTr="009F24E6">
        <w:trPr>
          <w:trHeight w:val="208"/>
        </w:trPr>
        <w:tc>
          <w:tcPr>
            <w:tcW w:w="2320" w:type="dxa"/>
            <w:vMerge/>
            <w:vAlign w:val="center"/>
          </w:tcPr>
          <w:p w:rsidR="00C83EEA" w:rsidRDefault="00C83EEA" w:rsidP="009F24E6">
            <w:pPr>
              <w:rPr>
                <w:sz w:val="18"/>
                <w:szCs w:val="18"/>
              </w:rPr>
            </w:pPr>
          </w:p>
        </w:tc>
        <w:tc>
          <w:tcPr>
            <w:tcW w:w="1163" w:type="dxa"/>
            <w:shd w:val="clear" w:color="auto" w:fill="auto"/>
          </w:tcPr>
          <w:p w:rsidR="00C83EEA" w:rsidRDefault="00C83EEA" w:rsidP="009F24E6">
            <w:pPr>
              <w:rPr>
                <w:sz w:val="18"/>
                <w:szCs w:val="18"/>
              </w:rPr>
            </w:pPr>
            <w:r>
              <w:rPr>
                <w:sz w:val="18"/>
                <w:szCs w:val="18"/>
              </w:rPr>
              <w:t> </w:t>
            </w:r>
          </w:p>
        </w:tc>
        <w:tc>
          <w:tcPr>
            <w:tcW w:w="1163" w:type="dxa"/>
            <w:shd w:val="clear" w:color="auto" w:fill="auto"/>
          </w:tcPr>
          <w:p w:rsidR="00C83EEA" w:rsidRDefault="00C83EEA" w:rsidP="009F24E6">
            <w:pPr>
              <w:rPr>
                <w:sz w:val="18"/>
                <w:szCs w:val="18"/>
              </w:rPr>
            </w:pPr>
            <w:r>
              <w:rPr>
                <w:sz w:val="18"/>
                <w:szCs w:val="18"/>
              </w:rPr>
              <w:t> </w:t>
            </w:r>
          </w:p>
        </w:tc>
        <w:tc>
          <w:tcPr>
            <w:tcW w:w="1268" w:type="dxa"/>
            <w:shd w:val="clear" w:color="auto" w:fill="auto"/>
          </w:tcPr>
          <w:p w:rsidR="00C83EEA" w:rsidRDefault="00C83EEA" w:rsidP="009F24E6">
            <w:pPr>
              <w:jc w:val="right"/>
              <w:rPr>
                <w:sz w:val="18"/>
                <w:szCs w:val="18"/>
              </w:rPr>
            </w:pPr>
            <w:r>
              <w:rPr>
                <w:sz w:val="18"/>
                <w:szCs w:val="18"/>
              </w:rPr>
              <w:t>100,2</w:t>
            </w:r>
          </w:p>
        </w:tc>
        <w:tc>
          <w:tcPr>
            <w:tcW w:w="1163" w:type="dxa"/>
            <w:shd w:val="clear" w:color="auto" w:fill="auto"/>
          </w:tcPr>
          <w:p w:rsidR="00C83EEA" w:rsidRDefault="00C83EEA" w:rsidP="009F24E6">
            <w:pPr>
              <w:jc w:val="right"/>
              <w:rPr>
                <w:sz w:val="18"/>
                <w:szCs w:val="18"/>
              </w:rPr>
            </w:pPr>
            <w:r>
              <w:rPr>
                <w:sz w:val="18"/>
                <w:szCs w:val="18"/>
              </w:rPr>
              <w:t>110,2</w:t>
            </w:r>
          </w:p>
        </w:tc>
        <w:tc>
          <w:tcPr>
            <w:tcW w:w="1162" w:type="dxa"/>
            <w:shd w:val="clear" w:color="auto" w:fill="auto"/>
          </w:tcPr>
          <w:p w:rsidR="00C83EEA" w:rsidRDefault="00C83EEA" w:rsidP="009F24E6">
            <w:pPr>
              <w:rPr>
                <w:sz w:val="18"/>
                <w:szCs w:val="18"/>
              </w:rPr>
            </w:pPr>
          </w:p>
        </w:tc>
        <w:tc>
          <w:tcPr>
            <w:tcW w:w="1136" w:type="dxa"/>
            <w:shd w:val="clear" w:color="auto" w:fill="auto"/>
          </w:tcPr>
          <w:p w:rsidR="00C83EEA" w:rsidRDefault="00C83EEA" w:rsidP="009F24E6">
            <w:pPr>
              <w:rPr>
                <w:sz w:val="18"/>
                <w:szCs w:val="18"/>
              </w:rPr>
            </w:pPr>
          </w:p>
        </w:tc>
      </w:tr>
      <w:tr w:rsidR="00C83EEA" w:rsidTr="009F24E6">
        <w:trPr>
          <w:trHeight w:val="208"/>
        </w:trPr>
        <w:tc>
          <w:tcPr>
            <w:tcW w:w="2320" w:type="dxa"/>
            <w:vMerge/>
            <w:vAlign w:val="center"/>
          </w:tcPr>
          <w:p w:rsidR="00C83EEA" w:rsidRDefault="00C83EEA" w:rsidP="009F24E6">
            <w:pPr>
              <w:rPr>
                <w:sz w:val="18"/>
                <w:szCs w:val="18"/>
              </w:rPr>
            </w:pPr>
          </w:p>
        </w:tc>
        <w:tc>
          <w:tcPr>
            <w:tcW w:w="1163" w:type="dxa"/>
            <w:shd w:val="clear" w:color="auto" w:fill="auto"/>
          </w:tcPr>
          <w:p w:rsidR="00C83EEA" w:rsidRDefault="00C83EEA" w:rsidP="009F24E6">
            <w:pPr>
              <w:rPr>
                <w:sz w:val="18"/>
                <w:szCs w:val="18"/>
              </w:rPr>
            </w:pPr>
          </w:p>
        </w:tc>
        <w:tc>
          <w:tcPr>
            <w:tcW w:w="1163" w:type="dxa"/>
            <w:shd w:val="clear" w:color="auto" w:fill="auto"/>
          </w:tcPr>
          <w:p w:rsidR="00C83EEA" w:rsidRDefault="00C83EEA" w:rsidP="009F24E6">
            <w:pPr>
              <w:rPr>
                <w:sz w:val="18"/>
                <w:szCs w:val="18"/>
              </w:rPr>
            </w:pPr>
          </w:p>
        </w:tc>
        <w:tc>
          <w:tcPr>
            <w:tcW w:w="1268" w:type="dxa"/>
            <w:shd w:val="clear" w:color="auto" w:fill="auto"/>
          </w:tcPr>
          <w:p w:rsidR="00C83EEA" w:rsidRDefault="00C83EEA" w:rsidP="009F24E6">
            <w:pPr>
              <w:rPr>
                <w:sz w:val="18"/>
                <w:szCs w:val="18"/>
              </w:rPr>
            </w:pPr>
          </w:p>
        </w:tc>
        <w:tc>
          <w:tcPr>
            <w:tcW w:w="1163" w:type="dxa"/>
            <w:shd w:val="clear" w:color="auto" w:fill="auto"/>
          </w:tcPr>
          <w:p w:rsidR="00C83EEA" w:rsidRDefault="00C83EEA" w:rsidP="009F24E6">
            <w:pPr>
              <w:rPr>
                <w:sz w:val="18"/>
                <w:szCs w:val="18"/>
              </w:rPr>
            </w:pPr>
          </w:p>
        </w:tc>
        <w:tc>
          <w:tcPr>
            <w:tcW w:w="1162" w:type="dxa"/>
            <w:shd w:val="clear" w:color="auto" w:fill="auto"/>
          </w:tcPr>
          <w:p w:rsidR="00C83EEA" w:rsidRDefault="00C83EEA" w:rsidP="009F24E6">
            <w:pPr>
              <w:jc w:val="right"/>
              <w:rPr>
                <w:sz w:val="18"/>
                <w:szCs w:val="18"/>
              </w:rPr>
            </w:pPr>
            <w:r>
              <w:rPr>
                <w:sz w:val="18"/>
                <w:szCs w:val="18"/>
              </w:rPr>
              <w:t>103,7</w:t>
            </w:r>
          </w:p>
        </w:tc>
        <w:tc>
          <w:tcPr>
            <w:tcW w:w="1136" w:type="dxa"/>
            <w:shd w:val="clear" w:color="auto" w:fill="auto"/>
          </w:tcPr>
          <w:p w:rsidR="00C83EEA" w:rsidRDefault="00C83EEA" w:rsidP="009F24E6">
            <w:pPr>
              <w:jc w:val="right"/>
              <w:rPr>
                <w:sz w:val="18"/>
                <w:szCs w:val="18"/>
              </w:rPr>
            </w:pPr>
            <w:r>
              <w:rPr>
                <w:sz w:val="18"/>
                <w:szCs w:val="18"/>
              </w:rPr>
              <w:t>111,8</w:t>
            </w:r>
          </w:p>
        </w:tc>
      </w:tr>
      <w:tr w:rsidR="00C83EEA" w:rsidTr="009F24E6">
        <w:trPr>
          <w:trHeight w:val="208"/>
        </w:trPr>
        <w:tc>
          <w:tcPr>
            <w:tcW w:w="2320" w:type="dxa"/>
            <w:vMerge w:val="restart"/>
            <w:shd w:val="clear" w:color="auto" w:fill="auto"/>
          </w:tcPr>
          <w:p w:rsidR="00C83EEA" w:rsidRDefault="00C83EEA" w:rsidP="009F24E6">
            <w:pPr>
              <w:rPr>
                <w:sz w:val="18"/>
                <w:szCs w:val="18"/>
              </w:rPr>
            </w:pPr>
            <w:r>
              <w:rPr>
                <w:sz w:val="18"/>
                <w:szCs w:val="18"/>
              </w:rPr>
              <w:t>Строительство</w:t>
            </w:r>
          </w:p>
        </w:tc>
        <w:tc>
          <w:tcPr>
            <w:tcW w:w="1163" w:type="dxa"/>
            <w:shd w:val="clear" w:color="auto" w:fill="auto"/>
          </w:tcPr>
          <w:p w:rsidR="00C83EEA" w:rsidRDefault="00C83EEA" w:rsidP="009F24E6">
            <w:pPr>
              <w:jc w:val="right"/>
              <w:rPr>
                <w:sz w:val="18"/>
                <w:szCs w:val="18"/>
              </w:rPr>
            </w:pPr>
            <w:r>
              <w:rPr>
                <w:sz w:val="18"/>
                <w:szCs w:val="18"/>
              </w:rPr>
              <w:t>130,1</w:t>
            </w:r>
          </w:p>
        </w:tc>
        <w:tc>
          <w:tcPr>
            <w:tcW w:w="1163" w:type="dxa"/>
            <w:shd w:val="clear" w:color="auto" w:fill="auto"/>
          </w:tcPr>
          <w:p w:rsidR="00C83EEA" w:rsidRDefault="00C83EEA" w:rsidP="009F24E6">
            <w:pPr>
              <w:jc w:val="right"/>
              <w:rPr>
                <w:sz w:val="18"/>
                <w:szCs w:val="18"/>
              </w:rPr>
            </w:pPr>
            <w:r>
              <w:rPr>
                <w:sz w:val="18"/>
                <w:szCs w:val="18"/>
              </w:rPr>
              <w:t>84,2</w:t>
            </w:r>
          </w:p>
        </w:tc>
        <w:tc>
          <w:tcPr>
            <w:tcW w:w="1268" w:type="dxa"/>
            <w:shd w:val="clear" w:color="auto" w:fill="auto"/>
          </w:tcPr>
          <w:p w:rsidR="00C83EEA" w:rsidRDefault="00C83EEA" w:rsidP="009F24E6">
            <w:pPr>
              <w:rPr>
                <w:sz w:val="18"/>
                <w:szCs w:val="18"/>
              </w:rPr>
            </w:pPr>
            <w:r>
              <w:rPr>
                <w:sz w:val="18"/>
                <w:szCs w:val="18"/>
              </w:rPr>
              <w:t> </w:t>
            </w:r>
          </w:p>
        </w:tc>
        <w:tc>
          <w:tcPr>
            <w:tcW w:w="1163" w:type="dxa"/>
            <w:shd w:val="clear" w:color="auto" w:fill="auto"/>
          </w:tcPr>
          <w:p w:rsidR="00C83EEA" w:rsidRDefault="00C83EEA" w:rsidP="009F24E6">
            <w:pPr>
              <w:rPr>
                <w:sz w:val="18"/>
                <w:szCs w:val="18"/>
              </w:rPr>
            </w:pPr>
          </w:p>
        </w:tc>
        <w:tc>
          <w:tcPr>
            <w:tcW w:w="1162" w:type="dxa"/>
            <w:shd w:val="clear" w:color="auto" w:fill="auto"/>
          </w:tcPr>
          <w:p w:rsidR="00C83EEA" w:rsidRDefault="00C83EEA" w:rsidP="009F24E6">
            <w:pPr>
              <w:rPr>
                <w:sz w:val="18"/>
                <w:szCs w:val="18"/>
              </w:rPr>
            </w:pPr>
          </w:p>
        </w:tc>
        <w:tc>
          <w:tcPr>
            <w:tcW w:w="1136" w:type="dxa"/>
            <w:shd w:val="clear" w:color="auto" w:fill="auto"/>
          </w:tcPr>
          <w:p w:rsidR="00C83EEA" w:rsidRDefault="00C83EEA" w:rsidP="009F24E6">
            <w:pPr>
              <w:rPr>
                <w:sz w:val="18"/>
                <w:szCs w:val="18"/>
              </w:rPr>
            </w:pPr>
          </w:p>
        </w:tc>
      </w:tr>
      <w:tr w:rsidR="00C83EEA" w:rsidTr="009F24E6">
        <w:trPr>
          <w:trHeight w:val="208"/>
        </w:trPr>
        <w:tc>
          <w:tcPr>
            <w:tcW w:w="2320" w:type="dxa"/>
            <w:vMerge/>
            <w:vAlign w:val="center"/>
          </w:tcPr>
          <w:p w:rsidR="00C83EEA" w:rsidRDefault="00C83EEA" w:rsidP="009F24E6">
            <w:pPr>
              <w:rPr>
                <w:sz w:val="18"/>
                <w:szCs w:val="18"/>
              </w:rPr>
            </w:pPr>
          </w:p>
        </w:tc>
        <w:tc>
          <w:tcPr>
            <w:tcW w:w="1163" w:type="dxa"/>
            <w:shd w:val="clear" w:color="auto" w:fill="auto"/>
          </w:tcPr>
          <w:p w:rsidR="00C83EEA" w:rsidRDefault="00C83EEA" w:rsidP="009F24E6">
            <w:pPr>
              <w:rPr>
                <w:sz w:val="18"/>
                <w:szCs w:val="18"/>
              </w:rPr>
            </w:pPr>
            <w:r>
              <w:rPr>
                <w:sz w:val="18"/>
                <w:szCs w:val="18"/>
              </w:rPr>
              <w:t> </w:t>
            </w:r>
          </w:p>
        </w:tc>
        <w:tc>
          <w:tcPr>
            <w:tcW w:w="1163" w:type="dxa"/>
            <w:shd w:val="clear" w:color="auto" w:fill="auto"/>
          </w:tcPr>
          <w:p w:rsidR="00C83EEA" w:rsidRDefault="00C83EEA" w:rsidP="009F24E6">
            <w:pPr>
              <w:rPr>
                <w:sz w:val="18"/>
                <w:szCs w:val="18"/>
              </w:rPr>
            </w:pPr>
            <w:r>
              <w:rPr>
                <w:sz w:val="18"/>
                <w:szCs w:val="18"/>
              </w:rPr>
              <w:t> </w:t>
            </w:r>
          </w:p>
        </w:tc>
        <w:tc>
          <w:tcPr>
            <w:tcW w:w="1268" w:type="dxa"/>
            <w:shd w:val="clear" w:color="auto" w:fill="auto"/>
          </w:tcPr>
          <w:p w:rsidR="00C83EEA" w:rsidRDefault="00C83EEA" w:rsidP="009F24E6">
            <w:pPr>
              <w:jc w:val="right"/>
              <w:rPr>
                <w:sz w:val="18"/>
                <w:szCs w:val="18"/>
              </w:rPr>
            </w:pPr>
            <w:r>
              <w:rPr>
                <w:sz w:val="18"/>
                <w:szCs w:val="18"/>
              </w:rPr>
              <w:t>130,6</w:t>
            </w:r>
          </w:p>
        </w:tc>
        <w:tc>
          <w:tcPr>
            <w:tcW w:w="1163" w:type="dxa"/>
            <w:shd w:val="clear" w:color="auto" w:fill="auto"/>
          </w:tcPr>
          <w:p w:rsidR="00C83EEA" w:rsidRDefault="00C83EEA" w:rsidP="009F24E6">
            <w:pPr>
              <w:jc w:val="right"/>
              <w:rPr>
                <w:sz w:val="18"/>
                <w:szCs w:val="18"/>
              </w:rPr>
            </w:pPr>
            <w:r>
              <w:rPr>
                <w:sz w:val="18"/>
                <w:szCs w:val="18"/>
              </w:rPr>
              <w:t>100,6</w:t>
            </w:r>
          </w:p>
        </w:tc>
        <w:tc>
          <w:tcPr>
            <w:tcW w:w="1162" w:type="dxa"/>
            <w:shd w:val="clear" w:color="auto" w:fill="auto"/>
          </w:tcPr>
          <w:p w:rsidR="00C83EEA" w:rsidRDefault="00C83EEA" w:rsidP="009F24E6">
            <w:pPr>
              <w:rPr>
                <w:sz w:val="18"/>
                <w:szCs w:val="18"/>
              </w:rPr>
            </w:pPr>
          </w:p>
        </w:tc>
        <w:tc>
          <w:tcPr>
            <w:tcW w:w="1136" w:type="dxa"/>
            <w:shd w:val="clear" w:color="auto" w:fill="auto"/>
          </w:tcPr>
          <w:p w:rsidR="00C83EEA" w:rsidRDefault="00C83EEA" w:rsidP="009F24E6">
            <w:pPr>
              <w:rPr>
                <w:sz w:val="18"/>
                <w:szCs w:val="18"/>
              </w:rPr>
            </w:pPr>
          </w:p>
        </w:tc>
      </w:tr>
      <w:tr w:rsidR="00C83EEA" w:rsidTr="009F24E6">
        <w:trPr>
          <w:trHeight w:val="208"/>
        </w:trPr>
        <w:tc>
          <w:tcPr>
            <w:tcW w:w="2320" w:type="dxa"/>
            <w:vMerge/>
            <w:vAlign w:val="center"/>
          </w:tcPr>
          <w:p w:rsidR="00C83EEA" w:rsidRDefault="00C83EEA" w:rsidP="009F24E6">
            <w:pPr>
              <w:rPr>
                <w:sz w:val="18"/>
                <w:szCs w:val="18"/>
              </w:rPr>
            </w:pPr>
          </w:p>
        </w:tc>
        <w:tc>
          <w:tcPr>
            <w:tcW w:w="1163" w:type="dxa"/>
            <w:shd w:val="clear" w:color="auto" w:fill="auto"/>
          </w:tcPr>
          <w:p w:rsidR="00C83EEA" w:rsidRDefault="00C83EEA" w:rsidP="009F24E6">
            <w:pPr>
              <w:rPr>
                <w:sz w:val="18"/>
                <w:szCs w:val="18"/>
              </w:rPr>
            </w:pPr>
          </w:p>
        </w:tc>
        <w:tc>
          <w:tcPr>
            <w:tcW w:w="1163" w:type="dxa"/>
            <w:shd w:val="clear" w:color="auto" w:fill="auto"/>
          </w:tcPr>
          <w:p w:rsidR="00C83EEA" w:rsidRDefault="00C83EEA" w:rsidP="009F24E6">
            <w:pPr>
              <w:rPr>
                <w:sz w:val="18"/>
                <w:szCs w:val="18"/>
              </w:rPr>
            </w:pPr>
          </w:p>
        </w:tc>
        <w:tc>
          <w:tcPr>
            <w:tcW w:w="1268" w:type="dxa"/>
            <w:shd w:val="clear" w:color="auto" w:fill="auto"/>
          </w:tcPr>
          <w:p w:rsidR="00C83EEA" w:rsidRDefault="00C83EEA" w:rsidP="009F24E6">
            <w:pPr>
              <w:rPr>
                <w:sz w:val="18"/>
                <w:szCs w:val="18"/>
              </w:rPr>
            </w:pPr>
          </w:p>
        </w:tc>
        <w:tc>
          <w:tcPr>
            <w:tcW w:w="1163" w:type="dxa"/>
            <w:shd w:val="clear" w:color="auto" w:fill="auto"/>
          </w:tcPr>
          <w:p w:rsidR="00C83EEA" w:rsidRDefault="00C83EEA" w:rsidP="009F24E6">
            <w:pPr>
              <w:rPr>
                <w:sz w:val="18"/>
                <w:szCs w:val="18"/>
              </w:rPr>
            </w:pPr>
          </w:p>
        </w:tc>
        <w:tc>
          <w:tcPr>
            <w:tcW w:w="1162" w:type="dxa"/>
            <w:shd w:val="clear" w:color="auto" w:fill="auto"/>
          </w:tcPr>
          <w:p w:rsidR="00C83EEA" w:rsidRDefault="00C83EEA" w:rsidP="009F24E6">
            <w:pPr>
              <w:jc w:val="right"/>
              <w:rPr>
                <w:sz w:val="18"/>
                <w:szCs w:val="18"/>
              </w:rPr>
            </w:pPr>
            <w:r>
              <w:rPr>
                <w:sz w:val="18"/>
                <w:szCs w:val="18"/>
              </w:rPr>
              <w:t>133,6</w:t>
            </w:r>
          </w:p>
        </w:tc>
        <w:tc>
          <w:tcPr>
            <w:tcW w:w="1136" w:type="dxa"/>
            <w:shd w:val="clear" w:color="auto" w:fill="auto"/>
          </w:tcPr>
          <w:p w:rsidR="00C83EEA" w:rsidRDefault="00C83EEA" w:rsidP="009F24E6">
            <w:pPr>
              <w:jc w:val="right"/>
              <w:rPr>
                <w:sz w:val="18"/>
                <w:szCs w:val="18"/>
              </w:rPr>
            </w:pPr>
            <w:r>
              <w:rPr>
                <w:sz w:val="18"/>
                <w:szCs w:val="18"/>
              </w:rPr>
              <w:t>98,1</w:t>
            </w:r>
          </w:p>
        </w:tc>
      </w:tr>
      <w:tr w:rsidR="00C83EEA" w:rsidTr="009F24E6">
        <w:trPr>
          <w:trHeight w:val="208"/>
        </w:trPr>
        <w:tc>
          <w:tcPr>
            <w:tcW w:w="2320" w:type="dxa"/>
            <w:vMerge w:val="restart"/>
            <w:shd w:val="clear" w:color="auto" w:fill="auto"/>
          </w:tcPr>
          <w:p w:rsidR="00C83EEA" w:rsidRDefault="00C83EEA" w:rsidP="009F24E6">
            <w:pPr>
              <w:rPr>
                <w:sz w:val="18"/>
                <w:szCs w:val="18"/>
              </w:rPr>
            </w:pPr>
            <w:r>
              <w:rPr>
                <w:sz w:val="18"/>
                <w:szCs w:val="18"/>
              </w:rPr>
              <w:t>Оборот розничной торговли</w:t>
            </w:r>
          </w:p>
        </w:tc>
        <w:tc>
          <w:tcPr>
            <w:tcW w:w="1163" w:type="dxa"/>
            <w:shd w:val="clear" w:color="auto" w:fill="auto"/>
          </w:tcPr>
          <w:p w:rsidR="00C83EEA" w:rsidRDefault="00C83EEA" w:rsidP="009F24E6">
            <w:pPr>
              <w:jc w:val="right"/>
              <w:rPr>
                <w:sz w:val="18"/>
                <w:szCs w:val="18"/>
              </w:rPr>
            </w:pPr>
            <w:r>
              <w:rPr>
                <w:sz w:val="18"/>
                <w:szCs w:val="18"/>
              </w:rPr>
              <w:t>97,4</w:t>
            </w:r>
          </w:p>
        </w:tc>
        <w:tc>
          <w:tcPr>
            <w:tcW w:w="1163" w:type="dxa"/>
            <w:shd w:val="clear" w:color="auto" w:fill="auto"/>
          </w:tcPr>
          <w:p w:rsidR="00C83EEA" w:rsidRDefault="00C83EEA" w:rsidP="009F24E6">
            <w:pPr>
              <w:jc w:val="right"/>
              <w:rPr>
                <w:sz w:val="18"/>
                <w:szCs w:val="18"/>
              </w:rPr>
            </w:pPr>
            <w:r>
              <w:rPr>
                <w:sz w:val="18"/>
                <w:szCs w:val="18"/>
              </w:rPr>
              <w:t>104,2</w:t>
            </w:r>
          </w:p>
        </w:tc>
        <w:tc>
          <w:tcPr>
            <w:tcW w:w="1268" w:type="dxa"/>
            <w:shd w:val="clear" w:color="auto" w:fill="auto"/>
          </w:tcPr>
          <w:p w:rsidR="00C83EEA" w:rsidRDefault="00C83EEA" w:rsidP="009F24E6">
            <w:pPr>
              <w:rPr>
                <w:sz w:val="18"/>
                <w:szCs w:val="18"/>
              </w:rPr>
            </w:pPr>
            <w:r>
              <w:rPr>
                <w:sz w:val="18"/>
                <w:szCs w:val="18"/>
              </w:rPr>
              <w:t> </w:t>
            </w:r>
          </w:p>
        </w:tc>
        <w:tc>
          <w:tcPr>
            <w:tcW w:w="1163" w:type="dxa"/>
            <w:shd w:val="clear" w:color="auto" w:fill="auto"/>
          </w:tcPr>
          <w:p w:rsidR="00C83EEA" w:rsidRDefault="00C83EEA" w:rsidP="009F24E6">
            <w:pPr>
              <w:rPr>
                <w:sz w:val="18"/>
                <w:szCs w:val="18"/>
              </w:rPr>
            </w:pPr>
          </w:p>
        </w:tc>
        <w:tc>
          <w:tcPr>
            <w:tcW w:w="1162" w:type="dxa"/>
            <w:shd w:val="clear" w:color="auto" w:fill="auto"/>
          </w:tcPr>
          <w:p w:rsidR="00C83EEA" w:rsidRDefault="00C83EEA" w:rsidP="009F24E6">
            <w:pPr>
              <w:rPr>
                <w:sz w:val="18"/>
                <w:szCs w:val="18"/>
              </w:rPr>
            </w:pPr>
          </w:p>
        </w:tc>
        <w:tc>
          <w:tcPr>
            <w:tcW w:w="1136" w:type="dxa"/>
            <w:shd w:val="clear" w:color="auto" w:fill="auto"/>
          </w:tcPr>
          <w:p w:rsidR="00C83EEA" w:rsidRDefault="00C83EEA" w:rsidP="009F24E6">
            <w:pPr>
              <w:rPr>
                <w:sz w:val="18"/>
                <w:szCs w:val="18"/>
              </w:rPr>
            </w:pPr>
          </w:p>
        </w:tc>
      </w:tr>
      <w:tr w:rsidR="00C83EEA" w:rsidTr="009F24E6">
        <w:trPr>
          <w:trHeight w:val="208"/>
        </w:trPr>
        <w:tc>
          <w:tcPr>
            <w:tcW w:w="2320" w:type="dxa"/>
            <w:vMerge/>
            <w:vAlign w:val="center"/>
          </w:tcPr>
          <w:p w:rsidR="00C83EEA" w:rsidRDefault="00C83EEA" w:rsidP="009F24E6">
            <w:pPr>
              <w:rPr>
                <w:sz w:val="18"/>
                <w:szCs w:val="18"/>
              </w:rPr>
            </w:pPr>
          </w:p>
        </w:tc>
        <w:tc>
          <w:tcPr>
            <w:tcW w:w="1163" w:type="dxa"/>
            <w:shd w:val="clear" w:color="auto" w:fill="auto"/>
          </w:tcPr>
          <w:p w:rsidR="00C83EEA" w:rsidRDefault="00C83EEA" w:rsidP="009F24E6">
            <w:pPr>
              <w:rPr>
                <w:sz w:val="18"/>
                <w:szCs w:val="18"/>
              </w:rPr>
            </w:pPr>
            <w:r>
              <w:rPr>
                <w:sz w:val="18"/>
                <w:szCs w:val="18"/>
              </w:rPr>
              <w:t> </w:t>
            </w:r>
          </w:p>
        </w:tc>
        <w:tc>
          <w:tcPr>
            <w:tcW w:w="1163" w:type="dxa"/>
            <w:shd w:val="clear" w:color="auto" w:fill="auto"/>
          </w:tcPr>
          <w:p w:rsidR="00C83EEA" w:rsidRDefault="00C83EEA" w:rsidP="009F24E6">
            <w:pPr>
              <w:rPr>
                <w:sz w:val="18"/>
                <w:szCs w:val="18"/>
              </w:rPr>
            </w:pPr>
            <w:r>
              <w:rPr>
                <w:sz w:val="18"/>
                <w:szCs w:val="18"/>
              </w:rPr>
              <w:t> </w:t>
            </w:r>
          </w:p>
        </w:tc>
        <w:tc>
          <w:tcPr>
            <w:tcW w:w="1268" w:type="dxa"/>
            <w:shd w:val="clear" w:color="auto" w:fill="auto"/>
          </w:tcPr>
          <w:p w:rsidR="00C83EEA" w:rsidRDefault="00C83EEA" w:rsidP="009F24E6">
            <w:pPr>
              <w:jc w:val="right"/>
              <w:rPr>
                <w:sz w:val="18"/>
                <w:szCs w:val="18"/>
              </w:rPr>
            </w:pPr>
            <w:r>
              <w:rPr>
                <w:sz w:val="18"/>
                <w:szCs w:val="18"/>
              </w:rPr>
              <w:t>101,6</w:t>
            </w:r>
          </w:p>
        </w:tc>
        <w:tc>
          <w:tcPr>
            <w:tcW w:w="1163" w:type="dxa"/>
            <w:shd w:val="clear" w:color="auto" w:fill="auto"/>
          </w:tcPr>
          <w:p w:rsidR="00C83EEA" w:rsidRDefault="00C83EEA" w:rsidP="009F24E6">
            <w:pPr>
              <w:jc w:val="right"/>
              <w:rPr>
                <w:sz w:val="18"/>
                <w:szCs w:val="18"/>
              </w:rPr>
            </w:pPr>
            <w:r>
              <w:rPr>
                <w:sz w:val="18"/>
                <w:szCs w:val="18"/>
              </w:rPr>
              <w:t>105,5</w:t>
            </w:r>
          </w:p>
        </w:tc>
        <w:tc>
          <w:tcPr>
            <w:tcW w:w="1162" w:type="dxa"/>
            <w:shd w:val="clear" w:color="auto" w:fill="auto"/>
          </w:tcPr>
          <w:p w:rsidR="00C83EEA" w:rsidRDefault="00C83EEA" w:rsidP="009F24E6">
            <w:pPr>
              <w:rPr>
                <w:sz w:val="18"/>
                <w:szCs w:val="18"/>
              </w:rPr>
            </w:pPr>
          </w:p>
        </w:tc>
        <w:tc>
          <w:tcPr>
            <w:tcW w:w="1136" w:type="dxa"/>
            <w:shd w:val="clear" w:color="auto" w:fill="auto"/>
          </w:tcPr>
          <w:p w:rsidR="00C83EEA" w:rsidRDefault="00C83EEA" w:rsidP="009F24E6">
            <w:pPr>
              <w:rPr>
                <w:sz w:val="18"/>
                <w:szCs w:val="18"/>
              </w:rPr>
            </w:pPr>
          </w:p>
        </w:tc>
      </w:tr>
      <w:tr w:rsidR="00C83EEA" w:rsidTr="009F24E6">
        <w:trPr>
          <w:trHeight w:val="208"/>
        </w:trPr>
        <w:tc>
          <w:tcPr>
            <w:tcW w:w="2320" w:type="dxa"/>
            <w:vMerge/>
            <w:vAlign w:val="center"/>
          </w:tcPr>
          <w:p w:rsidR="00C83EEA" w:rsidRDefault="00C83EEA" w:rsidP="009F24E6">
            <w:pPr>
              <w:rPr>
                <w:sz w:val="18"/>
                <w:szCs w:val="18"/>
              </w:rPr>
            </w:pPr>
          </w:p>
        </w:tc>
        <w:tc>
          <w:tcPr>
            <w:tcW w:w="1163" w:type="dxa"/>
            <w:shd w:val="clear" w:color="auto" w:fill="auto"/>
          </w:tcPr>
          <w:p w:rsidR="00C83EEA" w:rsidRDefault="00C83EEA" w:rsidP="009F24E6">
            <w:pPr>
              <w:rPr>
                <w:sz w:val="18"/>
                <w:szCs w:val="18"/>
              </w:rPr>
            </w:pPr>
          </w:p>
        </w:tc>
        <w:tc>
          <w:tcPr>
            <w:tcW w:w="1163" w:type="dxa"/>
            <w:shd w:val="clear" w:color="auto" w:fill="auto"/>
          </w:tcPr>
          <w:p w:rsidR="00C83EEA" w:rsidRDefault="00C83EEA" w:rsidP="009F24E6">
            <w:pPr>
              <w:rPr>
                <w:sz w:val="18"/>
                <w:szCs w:val="18"/>
              </w:rPr>
            </w:pPr>
          </w:p>
        </w:tc>
        <w:tc>
          <w:tcPr>
            <w:tcW w:w="1268" w:type="dxa"/>
            <w:shd w:val="clear" w:color="auto" w:fill="auto"/>
          </w:tcPr>
          <w:p w:rsidR="00C83EEA" w:rsidRDefault="00C83EEA" w:rsidP="009F24E6">
            <w:pPr>
              <w:rPr>
                <w:sz w:val="18"/>
                <w:szCs w:val="18"/>
              </w:rPr>
            </w:pPr>
          </w:p>
        </w:tc>
        <w:tc>
          <w:tcPr>
            <w:tcW w:w="1163" w:type="dxa"/>
            <w:shd w:val="clear" w:color="auto" w:fill="auto"/>
          </w:tcPr>
          <w:p w:rsidR="00C83EEA" w:rsidRDefault="00C83EEA" w:rsidP="009F24E6">
            <w:pPr>
              <w:rPr>
                <w:sz w:val="18"/>
                <w:szCs w:val="18"/>
              </w:rPr>
            </w:pPr>
          </w:p>
        </w:tc>
        <w:tc>
          <w:tcPr>
            <w:tcW w:w="1162" w:type="dxa"/>
            <w:shd w:val="clear" w:color="auto" w:fill="auto"/>
          </w:tcPr>
          <w:p w:rsidR="00C83EEA" w:rsidRDefault="00C83EEA" w:rsidP="009F24E6">
            <w:pPr>
              <w:jc w:val="right"/>
              <w:rPr>
                <w:sz w:val="18"/>
                <w:szCs w:val="18"/>
              </w:rPr>
            </w:pPr>
            <w:r>
              <w:rPr>
                <w:sz w:val="18"/>
                <w:szCs w:val="18"/>
              </w:rPr>
              <w:t>102,8</w:t>
            </w:r>
          </w:p>
        </w:tc>
        <w:tc>
          <w:tcPr>
            <w:tcW w:w="1136" w:type="dxa"/>
            <w:shd w:val="clear" w:color="auto" w:fill="auto"/>
          </w:tcPr>
          <w:p w:rsidR="00C83EEA" w:rsidRDefault="00C83EEA" w:rsidP="009F24E6">
            <w:pPr>
              <w:jc w:val="right"/>
              <w:rPr>
                <w:sz w:val="18"/>
                <w:szCs w:val="18"/>
              </w:rPr>
            </w:pPr>
            <w:r>
              <w:rPr>
                <w:sz w:val="18"/>
                <w:szCs w:val="18"/>
              </w:rPr>
              <w:t>106,1</w:t>
            </w:r>
          </w:p>
        </w:tc>
      </w:tr>
      <w:tr w:rsidR="00C83EEA" w:rsidTr="009F24E6">
        <w:trPr>
          <w:trHeight w:val="208"/>
        </w:trPr>
        <w:tc>
          <w:tcPr>
            <w:tcW w:w="2320" w:type="dxa"/>
            <w:vMerge w:val="restart"/>
            <w:shd w:val="clear" w:color="auto" w:fill="auto"/>
          </w:tcPr>
          <w:p w:rsidR="00C83EEA" w:rsidRDefault="00C83EEA" w:rsidP="009F24E6">
            <w:pPr>
              <w:rPr>
                <w:sz w:val="18"/>
                <w:szCs w:val="18"/>
              </w:rPr>
            </w:pPr>
            <w:r>
              <w:rPr>
                <w:sz w:val="18"/>
                <w:szCs w:val="18"/>
              </w:rPr>
              <w:t>Объем платных услуг населению</w:t>
            </w:r>
          </w:p>
        </w:tc>
        <w:tc>
          <w:tcPr>
            <w:tcW w:w="1163" w:type="dxa"/>
            <w:shd w:val="clear" w:color="auto" w:fill="auto"/>
          </w:tcPr>
          <w:p w:rsidR="00C83EEA" w:rsidRDefault="00C83EEA" w:rsidP="009F24E6">
            <w:pPr>
              <w:jc w:val="right"/>
              <w:rPr>
                <w:sz w:val="18"/>
                <w:szCs w:val="18"/>
              </w:rPr>
            </w:pPr>
            <w:r>
              <w:rPr>
                <w:sz w:val="18"/>
                <w:szCs w:val="18"/>
              </w:rPr>
              <w:t>100,8</w:t>
            </w:r>
          </w:p>
        </w:tc>
        <w:tc>
          <w:tcPr>
            <w:tcW w:w="1163" w:type="dxa"/>
            <w:shd w:val="clear" w:color="auto" w:fill="auto"/>
          </w:tcPr>
          <w:p w:rsidR="00C83EEA" w:rsidRDefault="00C83EEA" w:rsidP="009F24E6">
            <w:pPr>
              <w:jc w:val="right"/>
              <w:rPr>
                <w:sz w:val="18"/>
                <w:szCs w:val="18"/>
              </w:rPr>
            </w:pPr>
            <w:r>
              <w:rPr>
                <w:sz w:val="18"/>
                <w:szCs w:val="18"/>
              </w:rPr>
              <w:t>100,5</w:t>
            </w:r>
          </w:p>
        </w:tc>
        <w:tc>
          <w:tcPr>
            <w:tcW w:w="1268" w:type="dxa"/>
            <w:shd w:val="clear" w:color="auto" w:fill="auto"/>
          </w:tcPr>
          <w:p w:rsidR="00C83EEA" w:rsidRDefault="00C83EEA" w:rsidP="009F24E6">
            <w:pPr>
              <w:rPr>
                <w:sz w:val="18"/>
                <w:szCs w:val="18"/>
              </w:rPr>
            </w:pPr>
            <w:r>
              <w:rPr>
                <w:sz w:val="18"/>
                <w:szCs w:val="18"/>
              </w:rPr>
              <w:t> </w:t>
            </w:r>
          </w:p>
        </w:tc>
        <w:tc>
          <w:tcPr>
            <w:tcW w:w="1163" w:type="dxa"/>
            <w:shd w:val="clear" w:color="auto" w:fill="auto"/>
          </w:tcPr>
          <w:p w:rsidR="00C83EEA" w:rsidRDefault="00C83EEA" w:rsidP="009F24E6">
            <w:pPr>
              <w:rPr>
                <w:sz w:val="18"/>
                <w:szCs w:val="18"/>
              </w:rPr>
            </w:pPr>
          </w:p>
        </w:tc>
        <w:tc>
          <w:tcPr>
            <w:tcW w:w="1162" w:type="dxa"/>
            <w:shd w:val="clear" w:color="auto" w:fill="auto"/>
          </w:tcPr>
          <w:p w:rsidR="00C83EEA" w:rsidRDefault="00C83EEA" w:rsidP="009F24E6">
            <w:pPr>
              <w:rPr>
                <w:sz w:val="18"/>
                <w:szCs w:val="18"/>
              </w:rPr>
            </w:pPr>
          </w:p>
        </w:tc>
        <w:tc>
          <w:tcPr>
            <w:tcW w:w="1136" w:type="dxa"/>
            <w:shd w:val="clear" w:color="auto" w:fill="auto"/>
          </w:tcPr>
          <w:p w:rsidR="00C83EEA" w:rsidRDefault="00C83EEA" w:rsidP="009F24E6">
            <w:pPr>
              <w:rPr>
                <w:sz w:val="18"/>
                <w:szCs w:val="18"/>
              </w:rPr>
            </w:pPr>
          </w:p>
        </w:tc>
      </w:tr>
      <w:tr w:rsidR="00C83EEA" w:rsidTr="009F24E6">
        <w:trPr>
          <w:trHeight w:val="208"/>
        </w:trPr>
        <w:tc>
          <w:tcPr>
            <w:tcW w:w="2320" w:type="dxa"/>
            <w:vMerge/>
            <w:vAlign w:val="center"/>
          </w:tcPr>
          <w:p w:rsidR="00C83EEA" w:rsidRDefault="00C83EEA" w:rsidP="009F24E6">
            <w:pPr>
              <w:rPr>
                <w:sz w:val="18"/>
                <w:szCs w:val="18"/>
              </w:rPr>
            </w:pPr>
          </w:p>
        </w:tc>
        <w:tc>
          <w:tcPr>
            <w:tcW w:w="1163" w:type="dxa"/>
            <w:shd w:val="clear" w:color="auto" w:fill="auto"/>
          </w:tcPr>
          <w:p w:rsidR="00C83EEA" w:rsidRDefault="00C83EEA" w:rsidP="009F24E6">
            <w:pPr>
              <w:rPr>
                <w:sz w:val="18"/>
                <w:szCs w:val="18"/>
              </w:rPr>
            </w:pPr>
            <w:r>
              <w:rPr>
                <w:sz w:val="18"/>
                <w:szCs w:val="18"/>
              </w:rPr>
              <w:t> </w:t>
            </w:r>
          </w:p>
        </w:tc>
        <w:tc>
          <w:tcPr>
            <w:tcW w:w="1163" w:type="dxa"/>
            <w:shd w:val="clear" w:color="auto" w:fill="auto"/>
          </w:tcPr>
          <w:p w:rsidR="00C83EEA" w:rsidRDefault="00C83EEA" w:rsidP="009F24E6">
            <w:pPr>
              <w:rPr>
                <w:sz w:val="18"/>
                <w:szCs w:val="18"/>
              </w:rPr>
            </w:pPr>
            <w:r>
              <w:rPr>
                <w:sz w:val="18"/>
                <w:szCs w:val="18"/>
              </w:rPr>
              <w:t> </w:t>
            </w:r>
          </w:p>
        </w:tc>
        <w:tc>
          <w:tcPr>
            <w:tcW w:w="1268" w:type="dxa"/>
            <w:shd w:val="clear" w:color="auto" w:fill="auto"/>
          </w:tcPr>
          <w:p w:rsidR="00C83EEA" w:rsidRDefault="00C83EEA" w:rsidP="009F24E6">
            <w:pPr>
              <w:jc w:val="right"/>
              <w:rPr>
                <w:sz w:val="18"/>
                <w:szCs w:val="18"/>
              </w:rPr>
            </w:pPr>
            <w:r>
              <w:rPr>
                <w:sz w:val="18"/>
                <w:szCs w:val="18"/>
              </w:rPr>
              <w:t>106,7</w:t>
            </w:r>
          </w:p>
        </w:tc>
        <w:tc>
          <w:tcPr>
            <w:tcW w:w="1163" w:type="dxa"/>
            <w:shd w:val="clear" w:color="auto" w:fill="auto"/>
          </w:tcPr>
          <w:p w:rsidR="00C83EEA" w:rsidRDefault="00C83EEA" w:rsidP="009F24E6">
            <w:pPr>
              <w:jc w:val="right"/>
              <w:rPr>
                <w:sz w:val="18"/>
                <w:szCs w:val="18"/>
              </w:rPr>
            </w:pPr>
            <w:r>
              <w:rPr>
                <w:sz w:val="18"/>
                <w:szCs w:val="18"/>
              </w:rPr>
              <w:t>98,3</w:t>
            </w:r>
          </w:p>
        </w:tc>
        <w:tc>
          <w:tcPr>
            <w:tcW w:w="1162" w:type="dxa"/>
            <w:shd w:val="clear" w:color="auto" w:fill="auto"/>
          </w:tcPr>
          <w:p w:rsidR="00C83EEA" w:rsidRDefault="00C83EEA" w:rsidP="009F24E6">
            <w:pPr>
              <w:rPr>
                <w:sz w:val="18"/>
                <w:szCs w:val="18"/>
              </w:rPr>
            </w:pPr>
          </w:p>
        </w:tc>
        <w:tc>
          <w:tcPr>
            <w:tcW w:w="1136" w:type="dxa"/>
            <w:shd w:val="clear" w:color="auto" w:fill="auto"/>
          </w:tcPr>
          <w:p w:rsidR="00C83EEA" w:rsidRDefault="00C83EEA" w:rsidP="009F24E6">
            <w:pPr>
              <w:rPr>
                <w:sz w:val="18"/>
                <w:szCs w:val="18"/>
              </w:rPr>
            </w:pPr>
          </w:p>
        </w:tc>
      </w:tr>
      <w:tr w:rsidR="00C83EEA" w:rsidTr="009F24E6">
        <w:trPr>
          <w:trHeight w:val="208"/>
        </w:trPr>
        <w:tc>
          <w:tcPr>
            <w:tcW w:w="2320" w:type="dxa"/>
            <w:vMerge/>
            <w:vAlign w:val="center"/>
          </w:tcPr>
          <w:p w:rsidR="00C83EEA" w:rsidRDefault="00C83EEA" w:rsidP="009F24E6">
            <w:pPr>
              <w:rPr>
                <w:sz w:val="18"/>
                <w:szCs w:val="18"/>
              </w:rPr>
            </w:pPr>
          </w:p>
        </w:tc>
        <w:tc>
          <w:tcPr>
            <w:tcW w:w="1163" w:type="dxa"/>
            <w:shd w:val="clear" w:color="auto" w:fill="auto"/>
          </w:tcPr>
          <w:p w:rsidR="00C83EEA" w:rsidRDefault="00C83EEA" w:rsidP="009F24E6">
            <w:pPr>
              <w:rPr>
                <w:sz w:val="18"/>
                <w:szCs w:val="18"/>
              </w:rPr>
            </w:pPr>
          </w:p>
        </w:tc>
        <w:tc>
          <w:tcPr>
            <w:tcW w:w="1163" w:type="dxa"/>
            <w:shd w:val="clear" w:color="auto" w:fill="auto"/>
          </w:tcPr>
          <w:p w:rsidR="00C83EEA" w:rsidRDefault="00C83EEA" w:rsidP="009F24E6">
            <w:pPr>
              <w:rPr>
                <w:sz w:val="18"/>
                <w:szCs w:val="18"/>
              </w:rPr>
            </w:pPr>
          </w:p>
        </w:tc>
        <w:tc>
          <w:tcPr>
            <w:tcW w:w="1268" w:type="dxa"/>
            <w:shd w:val="clear" w:color="auto" w:fill="auto"/>
          </w:tcPr>
          <w:p w:rsidR="00C83EEA" w:rsidRDefault="00C83EEA" w:rsidP="009F24E6">
            <w:pPr>
              <w:rPr>
                <w:sz w:val="18"/>
                <w:szCs w:val="18"/>
              </w:rPr>
            </w:pPr>
          </w:p>
        </w:tc>
        <w:tc>
          <w:tcPr>
            <w:tcW w:w="1163" w:type="dxa"/>
            <w:shd w:val="clear" w:color="auto" w:fill="auto"/>
          </w:tcPr>
          <w:p w:rsidR="00C83EEA" w:rsidRDefault="00C83EEA" w:rsidP="009F24E6">
            <w:pPr>
              <w:rPr>
                <w:sz w:val="18"/>
                <w:szCs w:val="18"/>
              </w:rPr>
            </w:pPr>
          </w:p>
        </w:tc>
        <w:tc>
          <w:tcPr>
            <w:tcW w:w="1162" w:type="dxa"/>
            <w:shd w:val="clear" w:color="auto" w:fill="auto"/>
          </w:tcPr>
          <w:p w:rsidR="00C83EEA" w:rsidRDefault="00C83EEA" w:rsidP="009F24E6">
            <w:pPr>
              <w:jc w:val="right"/>
              <w:rPr>
                <w:sz w:val="18"/>
                <w:szCs w:val="18"/>
              </w:rPr>
            </w:pPr>
            <w:r>
              <w:rPr>
                <w:sz w:val="18"/>
                <w:szCs w:val="18"/>
              </w:rPr>
              <w:t>103,3</w:t>
            </w:r>
          </w:p>
        </w:tc>
        <w:tc>
          <w:tcPr>
            <w:tcW w:w="1136" w:type="dxa"/>
            <w:shd w:val="clear" w:color="auto" w:fill="auto"/>
          </w:tcPr>
          <w:p w:rsidR="00C83EEA" w:rsidRDefault="00C83EEA" w:rsidP="009F24E6">
            <w:pPr>
              <w:jc w:val="right"/>
              <w:rPr>
                <w:sz w:val="18"/>
                <w:szCs w:val="18"/>
              </w:rPr>
            </w:pPr>
            <w:r>
              <w:rPr>
                <w:sz w:val="18"/>
                <w:szCs w:val="18"/>
              </w:rPr>
              <w:t>100,7</w:t>
            </w:r>
          </w:p>
        </w:tc>
      </w:tr>
      <w:tr w:rsidR="00C83EEA" w:rsidTr="009F24E6">
        <w:trPr>
          <w:trHeight w:val="208"/>
        </w:trPr>
        <w:tc>
          <w:tcPr>
            <w:tcW w:w="2320" w:type="dxa"/>
            <w:vMerge w:val="restart"/>
            <w:shd w:val="clear" w:color="auto" w:fill="auto"/>
          </w:tcPr>
          <w:p w:rsidR="00C83EEA" w:rsidRDefault="00C83EEA" w:rsidP="009F24E6">
            <w:pPr>
              <w:rPr>
                <w:sz w:val="18"/>
                <w:szCs w:val="18"/>
              </w:rPr>
            </w:pPr>
            <w:r>
              <w:rPr>
                <w:sz w:val="18"/>
                <w:szCs w:val="18"/>
              </w:rPr>
              <w:t>Объем оптовой торговли</w:t>
            </w:r>
          </w:p>
        </w:tc>
        <w:tc>
          <w:tcPr>
            <w:tcW w:w="1163" w:type="dxa"/>
            <w:shd w:val="clear" w:color="auto" w:fill="auto"/>
          </w:tcPr>
          <w:p w:rsidR="00C83EEA" w:rsidRDefault="00C83EEA" w:rsidP="009F24E6">
            <w:pPr>
              <w:jc w:val="right"/>
              <w:rPr>
                <w:sz w:val="18"/>
                <w:szCs w:val="18"/>
              </w:rPr>
            </w:pPr>
            <w:r>
              <w:rPr>
                <w:sz w:val="18"/>
                <w:szCs w:val="18"/>
              </w:rPr>
              <w:t>108,7</w:t>
            </w:r>
          </w:p>
        </w:tc>
        <w:tc>
          <w:tcPr>
            <w:tcW w:w="1163" w:type="dxa"/>
            <w:shd w:val="clear" w:color="auto" w:fill="auto"/>
          </w:tcPr>
          <w:p w:rsidR="00C83EEA" w:rsidRDefault="00C83EEA" w:rsidP="009F24E6">
            <w:pPr>
              <w:jc w:val="right"/>
              <w:rPr>
                <w:sz w:val="18"/>
                <w:szCs w:val="18"/>
              </w:rPr>
            </w:pPr>
            <w:r>
              <w:rPr>
                <w:sz w:val="18"/>
                <w:szCs w:val="18"/>
              </w:rPr>
              <w:t>101,3</w:t>
            </w:r>
          </w:p>
        </w:tc>
        <w:tc>
          <w:tcPr>
            <w:tcW w:w="1268" w:type="dxa"/>
            <w:shd w:val="clear" w:color="auto" w:fill="auto"/>
          </w:tcPr>
          <w:p w:rsidR="00C83EEA" w:rsidRDefault="00C83EEA" w:rsidP="009F24E6">
            <w:pPr>
              <w:jc w:val="right"/>
              <w:rPr>
                <w:sz w:val="18"/>
                <w:szCs w:val="18"/>
              </w:rPr>
            </w:pPr>
          </w:p>
        </w:tc>
        <w:tc>
          <w:tcPr>
            <w:tcW w:w="1163" w:type="dxa"/>
            <w:shd w:val="clear" w:color="auto" w:fill="auto"/>
          </w:tcPr>
          <w:p w:rsidR="00C83EEA" w:rsidRDefault="00C83EEA" w:rsidP="009F24E6">
            <w:pPr>
              <w:jc w:val="right"/>
              <w:rPr>
                <w:sz w:val="18"/>
                <w:szCs w:val="18"/>
              </w:rPr>
            </w:pPr>
          </w:p>
        </w:tc>
        <w:tc>
          <w:tcPr>
            <w:tcW w:w="1162" w:type="dxa"/>
          </w:tcPr>
          <w:p w:rsidR="00C83EEA" w:rsidRDefault="00C83EEA" w:rsidP="009F24E6">
            <w:pPr>
              <w:jc w:val="right"/>
              <w:rPr>
                <w:sz w:val="18"/>
                <w:szCs w:val="18"/>
              </w:rPr>
            </w:pPr>
          </w:p>
        </w:tc>
        <w:tc>
          <w:tcPr>
            <w:tcW w:w="1136" w:type="dxa"/>
          </w:tcPr>
          <w:p w:rsidR="00C83EEA" w:rsidRDefault="00C83EEA" w:rsidP="009F24E6">
            <w:pPr>
              <w:jc w:val="right"/>
              <w:rPr>
                <w:sz w:val="18"/>
                <w:szCs w:val="18"/>
              </w:rPr>
            </w:pPr>
          </w:p>
        </w:tc>
      </w:tr>
      <w:tr w:rsidR="00C83EEA" w:rsidTr="009F24E6">
        <w:trPr>
          <w:trHeight w:val="208"/>
        </w:trPr>
        <w:tc>
          <w:tcPr>
            <w:tcW w:w="2320" w:type="dxa"/>
            <w:vMerge/>
            <w:shd w:val="clear" w:color="auto" w:fill="auto"/>
          </w:tcPr>
          <w:p w:rsidR="00C83EEA" w:rsidRDefault="00C83EEA" w:rsidP="009F24E6">
            <w:pPr>
              <w:rPr>
                <w:sz w:val="18"/>
                <w:szCs w:val="18"/>
              </w:rPr>
            </w:pPr>
          </w:p>
        </w:tc>
        <w:tc>
          <w:tcPr>
            <w:tcW w:w="1163" w:type="dxa"/>
            <w:shd w:val="clear" w:color="auto" w:fill="auto"/>
          </w:tcPr>
          <w:p w:rsidR="00C83EEA" w:rsidRDefault="00C83EEA" w:rsidP="009F24E6">
            <w:pPr>
              <w:jc w:val="right"/>
              <w:rPr>
                <w:sz w:val="18"/>
                <w:szCs w:val="18"/>
              </w:rPr>
            </w:pPr>
          </w:p>
        </w:tc>
        <w:tc>
          <w:tcPr>
            <w:tcW w:w="1163" w:type="dxa"/>
            <w:shd w:val="clear" w:color="auto" w:fill="auto"/>
          </w:tcPr>
          <w:p w:rsidR="00C83EEA" w:rsidRDefault="00C83EEA" w:rsidP="009F24E6">
            <w:pPr>
              <w:jc w:val="right"/>
              <w:rPr>
                <w:sz w:val="18"/>
                <w:szCs w:val="18"/>
              </w:rPr>
            </w:pPr>
          </w:p>
        </w:tc>
        <w:tc>
          <w:tcPr>
            <w:tcW w:w="1268" w:type="dxa"/>
            <w:shd w:val="clear" w:color="auto" w:fill="auto"/>
          </w:tcPr>
          <w:p w:rsidR="00C83EEA" w:rsidRDefault="00C83EEA" w:rsidP="009F24E6">
            <w:pPr>
              <w:jc w:val="right"/>
              <w:rPr>
                <w:sz w:val="18"/>
                <w:szCs w:val="18"/>
              </w:rPr>
            </w:pPr>
            <w:r>
              <w:rPr>
                <w:sz w:val="18"/>
                <w:szCs w:val="18"/>
              </w:rPr>
              <w:t>110,0</w:t>
            </w:r>
          </w:p>
        </w:tc>
        <w:tc>
          <w:tcPr>
            <w:tcW w:w="1163" w:type="dxa"/>
            <w:shd w:val="clear" w:color="auto" w:fill="auto"/>
          </w:tcPr>
          <w:p w:rsidR="00C83EEA" w:rsidRDefault="00C83EEA" w:rsidP="009F24E6">
            <w:pPr>
              <w:jc w:val="right"/>
              <w:rPr>
                <w:sz w:val="18"/>
                <w:szCs w:val="18"/>
              </w:rPr>
            </w:pPr>
            <w:r>
              <w:rPr>
                <w:sz w:val="18"/>
                <w:szCs w:val="18"/>
              </w:rPr>
              <w:t>104,0</w:t>
            </w:r>
          </w:p>
        </w:tc>
        <w:tc>
          <w:tcPr>
            <w:tcW w:w="1162" w:type="dxa"/>
          </w:tcPr>
          <w:p w:rsidR="00C83EEA" w:rsidRDefault="00C83EEA" w:rsidP="009F24E6">
            <w:pPr>
              <w:jc w:val="right"/>
              <w:rPr>
                <w:sz w:val="18"/>
                <w:szCs w:val="18"/>
              </w:rPr>
            </w:pPr>
          </w:p>
        </w:tc>
        <w:tc>
          <w:tcPr>
            <w:tcW w:w="1136" w:type="dxa"/>
          </w:tcPr>
          <w:p w:rsidR="00C83EEA" w:rsidRDefault="00C83EEA" w:rsidP="009F24E6">
            <w:pPr>
              <w:jc w:val="right"/>
              <w:rPr>
                <w:sz w:val="18"/>
                <w:szCs w:val="18"/>
              </w:rPr>
            </w:pPr>
          </w:p>
        </w:tc>
      </w:tr>
      <w:tr w:rsidR="00C83EEA" w:rsidTr="009F24E6">
        <w:trPr>
          <w:trHeight w:val="208"/>
        </w:trPr>
        <w:tc>
          <w:tcPr>
            <w:tcW w:w="2320" w:type="dxa"/>
            <w:vMerge/>
            <w:shd w:val="clear" w:color="auto" w:fill="auto"/>
          </w:tcPr>
          <w:p w:rsidR="00C83EEA" w:rsidRDefault="00C83EEA" w:rsidP="009F24E6">
            <w:pPr>
              <w:rPr>
                <w:sz w:val="18"/>
                <w:szCs w:val="18"/>
              </w:rPr>
            </w:pPr>
          </w:p>
        </w:tc>
        <w:tc>
          <w:tcPr>
            <w:tcW w:w="1163" w:type="dxa"/>
            <w:shd w:val="clear" w:color="auto" w:fill="auto"/>
          </w:tcPr>
          <w:p w:rsidR="00C83EEA" w:rsidRDefault="00C83EEA" w:rsidP="009F24E6">
            <w:pPr>
              <w:jc w:val="right"/>
              <w:rPr>
                <w:sz w:val="18"/>
                <w:szCs w:val="18"/>
              </w:rPr>
            </w:pPr>
          </w:p>
        </w:tc>
        <w:tc>
          <w:tcPr>
            <w:tcW w:w="1163" w:type="dxa"/>
            <w:shd w:val="clear" w:color="auto" w:fill="auto"/>
          </w:tcPr>
          <w:p w:rsidR="00C83EEA" w:rsidRDefault="00C83EEA" w:rsidP="009F24E6">
            <w:pPr>
              <w:jc w:val="right"/>
              <w:rPr>
                <w:sz w:val="18"/>
                <w:szCs w:val="18"/>
              </w:rPr>
            </w:pPr>
          </w:p>
        </w:tc>
        <w:tc>
          <w:tcPr>
            <w:tcW w:w="1268" w:type="dxa"/>
            <w:shd w:val="clear" w:color="auto" w:fill="auto"/>
          </w:tcPr>
          <w:p w:rsidR="00C83EEA" w:rsidRDefault="00C83EEA" w:rsidP="009F24E6">
            <w:pPr>
              <w:jc w:val="right"/>
              <w:rPr>
                <w:sz w:val="18"/>
                <w:szCs w:val="18"/>
              </w:rPr>
            </w:pPr>
          </w:p>
        </w:tc>
        <w:tc>
          <w:tcPr>
            <w:tcW w:w="1163" w:type="dxa"/>
            <w:shd w:val="clear" w:color="auto" w:fill="auto"/>
          </w:tcPr>
          <w:p w:rsidR="00C83EEA" w:rsidRDefault="00C83EEA" w:rsidP="009F24E6">
            <w:pPr>
              <w:jc w:val="right"/>
              <w:rPr>
                <w:sz w:val="18"/>
                <w:szCs w:val="18"/>
              </w:rPr>
            </w:pPr>
          </w:p>
        </w:tc>
        <w:tc>
          <w:tcPr>
            <w:tcW w:w="1162" w:type="dxa"/>
          </w:tcPr>
          <w:p w:rsidR="00C83EEA" w:rsidRDefault="00C83EEA" w:rsidP="009F24E6">
            <w:pPr>
              <w:jc w:val="right"/>
              <w:rPr>
                <w:sz w:val="18"/>
                <w:szCs w:val="18"/>
              </w:rPr>
            </w:pPr>
            <w:r>
              <w:rPr>
                <w:sz w:val="18"/>
                <w:szCs w:val="18"/>
              </w:rPr>
              <w:t>110,6</w:t>
            </w:r>
          </w:p>
        </w:tc>
        <w:tc>
          <w:tcPr>
            <w:tcW w:w="1136" w:type="dxa"/>
          </w:tcPr>
          <w:p w:rsidR="00C83EEA" w:rsidRDefault="00C83EEA" w:rsidP="009F24E6">
            <w:pPr>
              <w:jc w:val="right"/>
              <w:rPr>
                <w:sz w:val="18"/>
                <w:szCs w:val="18"/>
              </w:rPr>
            </w:pPr>
            <w:r>
              <w:rPr>
                <w:sz w:val="18"/>
                <w:szCs w:val="18"/>
              </w:rPr>
              <w:t>104,5</w:t>
            </w:r>
          </w:p>
        </w:tc>
      </w:tr>
      <w:tr w:rsidR="00C83EEA" w:rsidTr="009F24E6">
        <w:trPr>
          <w:trHeight w:val="208"/>
        </w:trPr>
        <w:tc>
          <w:tcPr>
            <w:tcW w:w="2320" w:type="dxa"/>
            <w:vMerge w:val="restart"/>
            <w:shd w:val="clear" w:color="auto" w:fill="auto"/>
          </w:tcPr>
          <w:p w:rsidR="00C83EEA" w:rsidRDefault="00C83EEA" w:rsidP="009F24E6">
            <w:pPr>
              <w:rPr>
                <w:sz w:val="18"/>
                <w:szCs w:val="18"/>
              </w:rPr>
            </w:pPr>
            <w:r>
              <w:rPr>
                <w:sz w:val="18"/>
                <w:szCs w:val="18"/>
              </w:rPr>
              <w:t>Индекс цен производителей промышленных товаров</w:t>
            </w:r>
          </w:p>
        </w:tc>
        <w:tc>
          <w:tcPr>
            <w:tcW w:w="1163" w:type="dxa"/>
            <w:shd w:val="clear" w:color="auto" w:fill="auto"/>
          </w:tcPr>
          <w:p w:rsidR="00C83EEA" w:rsidRDefault="00C83EEA" w:rsidP="009F24E6">
            <w:pPr>
              <w:jc w:val="right"/>
              <w:rPr>
                <w:sz w:val="18"/>
                <w:szCs w:val="18"/>
              </w:rPr>
            </w:pPr>
            <w:r>
              <w:rPr>
                <w:sz w:val="18"/>
                <w:szCs w:val="18"/>
              </w:rPr>
              <w:t>122,3</w:t>
            </w:r>
          </w:p>
        </w:tc>
        <w:tc>
          <w:tcPr>
            <w:tcW w:w="1163" w:type="dxa"/>
            <w:shd w:val="clear" w:color="auto" w:fill="auto"/>
          </w:tcPr>
          <w:p w:rsidR="00C83EEA" w:rsidRDefault="00C83EEA" w:rsidP="009F24E6">
            <w:pPr>
              <w:jc w:val="right"/>
              <w:rPr>
                <w:sz w:val="18"/>
                <w:szCs w:val="18"/>
              </w:rPr>
            </w:pPr>
            <w:r>
              <w:rPr>
                <w:sz w:val="18"/>
                <w:szCs w:val="18"/>
              </w:rPr>
              <w:t>110,9</w:t>
            </w:r>
          </w:p>
        </w:tc>
        <w:tc>
          <w:tcPr>
            <w:tcW w:w="1268" w:type="dxa"/>
            <w:shd w:val="clear" w:color="auto" w:fill="auto"/>
          </w:tcPr>
          <w:p w:rsidR="00C83EEA" w:rsidRDefault="00C83EEA" w:rsidP="009F24E6">
            <w:pPr>
              <w:jc w:val="right"/>
              <w:rPr>
                <w:sz w:val="18"/>
                <w:szCs w:val="18"/>
              </w:rPr>
            </w:pPr>
          </w:p>
        </w:tc>
        <w:tc>
          <w:tcPr>
            <w:tcW w:w="1163" w:type="dxa"/>
            <w:shd w:val="clear" w:color="auto" w:fill="auto"/>
          </w:tcPr>
          <w:p w:rsidR="00C83EEA" w:rsidRDefault="00C83EEA" w:rsidP="009F24E6">
            <w:pPr>
              <w:jc w:val="right"/>
              <w:rPr>
                <w:sz w:val="18"/>
                <w:szCs w:val="18"/>
              </w:rPr>
            </w:pPr>
          </w:p>
        </w:tc>
        <w:tc>
          <w:tcPr>
            <w:tcW w:w="1162" w:type="dxa"/>
          </w:tcPr>
          <w:p w:rsidR="00C83EEA" w:rsidRDefault="00C83EEA" w:rsidP="009F24E6">
            <w:pPr>
              <w:jc w:val="right"/>
              <w:rPr>
                <w:sz w:val="18"/>
                <w:szCs w:val="18"/>
              </w:rPr>
            </w:pPr>
          </w:p>
        </w:tc>
        <w:tc>
          <w:tcPr>
            <w:tcW w:w="1136" w:type="dxa"/>
          </w:tcPr>
          <w:p w:rsidR="00C83EEA" w:rsidRDefault="00C83EEA" w:rsidP="009F24E6">
            <w:pPr>
              <w:jc w:val="right"/>
              <w:rPr>
                <w:sz w:val="18"/>
                <w:szCs w:val="18"/>
              </w:rPr>
            </w:pPr>
          </w:p>
        </w:tc>
      </w:tr>
      <w:tr w:rsidR="00C83EEA" w:rsidTr="009F24E6">
        <w:trPr>
          <w:trHeight w:val="208"/>
        </w:trPr>
        <w:tc>
          <w:tcPr>
            <w:tcW w:w="2320" w:type="dxa"/>
            <w:vMerge/>
            <w:shd w:val="clear" w:color="auto" w:fill="auto"/>
          </w:tcPr>
          <w:p w:rsidR="00C83EEA" w:rsidRDefault="00C83EEA" w:rsidP="009F24E6">
            <w:pPr>
              <w:rPr>
                <w:sz w:val="18"/>
                <w:szCs w:val="18"/>
              </w:rPr>
            </w:pPr>
          </w:p>
        </w:tc>
        <w:tc>
          <w:tcPr>
            <w:tcW w:w="1163" w:type="dxa"/>
            <w:shd w:val="clear" w:color="auto" w:fill="auto"/>
          </w:tcPr>
          <w:p w:rsidR="00C83EEA" w:rsidRDefault="00C83EEA" w:rsidP="009F24E6">
            <w:pPr>
              <w:jc w:val="right"/>
              <w:rPr>
                <w:sz w:val="18"/>
                <w:szCs w:val="18"/>
              </w:rPr>
            </w:pPr>
          </w:p>
        </w:tc>
        <w:tc>
          <w:tcPr>
            <w:tcW w:w="1163" w:type="dxa"/>
            <w:shd w:val="clear" w:color="auto" w:fill="auto"/>
          </w:tcPr>
          <w:p w:rsidR="00C83EEA" w:rsidRDefault="00C83EEA" w:rsidP="009F24E6">
            <w:pPr>
              <w:jc w:val="right"/>
              <w:rPr>
                <w:sz w:val="18"/>
                <w:szCs w:val="18"/>
              </w:rPr>
            </w:pPr>
          </w:p>
        </w:tc>
        <w:tc>
          <w:tcPr>
            <w:tcW w:w="1268" w:type="dxa"/>
            <w:shd w:val="clear" w:color="auto" w:fill="auto"/>
          </w:tcPr>
          <w:p w:rsidR="00C83EEA" w:rsidRDefault="00C83EEA" w:rsidP="009F24E6">
            <w:pPr>
              <w:jc w:val="right"/>
              <w:rPr>
                <w:sz w:val="18"/>
                <w:szCs w:val="18"/>
              </w:rPr>
            </w:pPr>
            <w:r>
              <w:rPr>
                <w:sz w:val="18"/>
                <w:szCs w:val="18"/>
              </w:rPr>
              <w:t>123,9</w:t>
            </w:r>
          </w:p>
        </w:tc>
        <w:tc>
          <w:tcPr>
            <w:tcW w:w="1163" w:type="dxa"/>
            <w:shd w:val="clear" w:color="auto" w:fill="auto"/>
          </w:tcPr>
          <w:p w:rsidR="00C83EEA" w:rsidRDefault="00C83EEA" w:rsidP="009F24E6">
            <w:pPr>
              <w:jc w:val="right"/>
              <w:rPr>
                <w:sz w:val="18"/>
                <w:szCs w:val="18"/>
              </w:rPr>
            </w:pPr>
            <w:r>
              <w:rPr>
                <w:sz w:val="18"/>
                <w:szCs w:val="18"/>
              </w:rPr>
              <w:t>108,2</w:t>
            </w:r>
          </w:p>
        </w:tc>
        <w:tc>
          <w:tcPr>
            <w:tcW w:w="1162" w:type="dxa"/>
          </w:tcPr>
          <w:p w:rsidR="00C83EEA" w:rsidRDefault="00C83EEA" w:rsidP="009F24E6">
            <w:pPr>
              <w:jc w:val="right"/>
              <w:rPr>
                <w:sz w:val="18"/>
                <w:szCs w:val="18"/>
              </w:rPr>
            </w:pPr>
          </w:p>
        </w:tc>
        <w:tc>
          <w:tcPr>
            <w:tcW w:w="1136" w:type="dxa"/>
          </w:tcPr>
          <w:p w:rsidR="00C83EEA" w:rsidRDefault="00C83EEA" w:rsidP="009F24E6">
            <w:pPr>
              <w:jc w:val="right"/>
              <w:rPr>
                <w:sz w:val="18"/>
                <w:szCs w:val="18"/>
              </w:rPr>
            </w:pPr>
          </w:p>
        </w:tc>
      </w:tr>
      <w:tr w:rsidR="00C83EEA" w:rsidTr="009F24E6">
        <w:trPr>
          <w:trHeight w:val="208"/>
        </w:trPr>
        <w:tc>
          <w:tcPr>
            <w:tcW w:w="2320" w:type="dxa"/>
            <w:vMerge/>
            <w:shd w:val="clear" w:color="auto" w:fill="auto"/>
          </w:tcPr>
          <w:p w:rsidR="00C83EEA" w:rsidRDefault="00C83EEA" w:rsidP="009F24E6">
            <w:pPr>
              <w:rPr>
                <w:sz w:val="18"/>
                <w:szCs w:val="18"/>
              </w:rPr>
            </w:pPr>
          </w:p>
        </w:tc>
        <w:tc>
          <w:tcPr>
            <w:tcW w:w="1163" w:type="dxa"/>
            <w:shd w:val="clear" w:color="auto" w:fill="auto"/>
          </w:tcPr>
          <w:p w:rsidR="00C83EEA" w:rsidRDefault="00C83EEA" w:rsidP="009F24E6">
            <w:pPr>
              <w:jc w:val="right"/>
              <w:rPr>
                <w:sz w:val="18"/>
                <w:szCs w:val="18"/>
              </w:rPr>
            </w:pPr>
          </w:p>
        </w:tc>
        <w:tc>
          <w:tcPr>
            <w:tcW w:w="1163" w:type="dxa"/>
            <w:shd w:val="clear" w:color="auto" w:fill="auto"/>
          </w:tcPr>
          <w:p w:rsidR="00C83EEA" w:rsidRDefault="00C83EEA" w:rsidP="009F24E6">
            <w:pPr>
              <w:jc w:val="right"/>
              <w:rPr>
                <w:sz w:val="18"/>
                <w:szCs w:val="18"/>
              </w:rPr>
            </w:pPr>
          </w:p>
        </w:tc>
        <w:tc>
          <w:tcPr>
            <w:tcW w:w="1268" w:type="dxa"/>
            <w:shd w:val="clear" w:color="auto" w:fill="auto"/>
          </w:tcPr>
          <w:p w:rsidR="00C83EEA" w:rsidRDefault="00C83EEA" w:rsidP="009F24E6">
            <w:pPr>
              <w:jc w:val="right"/>
              <w:rPr>
                <w:sz w:val="18"/>
                <w:szCs w:val="18"/>
              </w:rPr>
            </w:pPr>
          </w:p>
        </w:tc>
        <w:tc>
          <w:tcPr>
            <w:tcW w:w="1163" w:type="dxa"/>
            <w:shd w:val="clear" w:color="auto" w:fill="auto"/>
          </w:tcPr>
          <w:p w:rsidR="00C83EEA" w:rsidRDefault="00C83EEA" w:rsidP="009F24E6">
            <w:pPr>
              <w:jc w:val="right"/>
              <w:rPr>
                <w:sz w:val="18"/>
                <w:szCs w:val="18"/>
              </w:rPr>
            </w:pPr>
          </w:p>
        </w:tc>
        <w:tc>
          <w:tcPr>
            <w:tcW w:w="1162" w:type="dxa"/>
          </w:tcPr>
          <w:p w:rsidR="00C83EEA" w:rsidRDefault="00C83EEA" w:rsidP="009F24E6">
            <w:pPr>
              <w:jc w:val="right"/>
              <w:rPr>
                <w:sz w:val="18"/>
                <w:szCs w:val="18"/>
              </w:rPr>
            </w:pPr>
            <w:r>
              <w:rPr>
                <w:sz w:val="18"/>
                <w:szCs w:val="18"/>
              </w:rPr>
              <w:t>120,9</w:t>
            </w:r>
          </w:p>
        </w:tc>
        <w:tc>
          <w:tcPr>
            <w:tcW w:w="1136" w:type="dxa"/>
          </w:tcPr>
          <w:p w:rsidR="00C83EEA" w:rsidRDefault="00C83EEA" w:rsidP="009F24E6">
            <w:pPr>
              <w:jc w:val="right"/>
              <w:rPr>
                <w:sz w:val="18"/>
                <w:szCs w:val="18"/>
              </w:rPr>
            </w:pPr>
            <w:r>
              <w:rPr>
                <w:sz w:val="18"/>
                <w:szCs w:val="18"/>
              </w:rPr>
              <w:t>109,0</w:t>
            </w:r>
          </w:p>
        </w:tc>
      </w:tr>
      <w:tr w:rsidR="00C83EEA" w:rsidTr="009F24E6">
        <w:trPr>
          <w:trHeight w:val="208"/>
        </w:trPr>
        <w:tc>
          <w:tcPr>
            <w:tcW w:w="2320" w:type="dxa"/>
            <w:vMerge w:val="restart"/>
            <w:shd w:val="clear" w:color="auto" w:fill="auto"/>
          </w:tcPr>
          <w:p w:rsidR="00C83EEA" w:rsidRDefault="00C83EEA" w:rsidP="009F24E6">
            <w:pPr>
              <w:rPr>
                <w:sz w:val="18"/>
                <w:szCs w:val="18"/>
              </w:rPr>
            </w:pPr>
            <w:r>
              <w:rPr>
                <w:sz w:val="18"/>
                <w:szCs w:val="18"/>
              </w:rPr>
              <w:t>Индекс цен на грузовые перевозки</w:t>
            </w:r>
          </w:p>
        </w:tc>
        <w:tc>
          <w:tcPr>
            <w:tcW w:w="1163" w:type="dxa"/>
            <w:shd w:val="clear" w:color="auto" w:fill="auto"/>
          </w:tcPr>
          <w:p w:rsidR="00C83EEA" w:rsidRDefault="00C83EEA" w:rsidP="009F24E6">
            <w:pPr>
              <w:jc w:val="right"/>
              <w:rPr>
                <w:sz w:val="18"/>
                <w:szCs w:val="18"/>
              </w:rPr>
            </w:pPr>
            <w:r>
              <w:rPr>
                <w:sz w:val="18"/>
                <w:szCs w:val="18"/>
              </w:rPr>
              <w:t>106,7</w:t>
            </w:r>
          </w:p>
        </w:tc>
        <w:tc>
          <w:tcPr>
            <w:tcW w:w="1163" w:type="dxa"/>
            <w:shd w:val="clear" w:color="auto" w:fill="auto"/>
          </w:tcPr>
          <w:p w:rsidR="00C83EEA" w:rsidRDefault="00C83EEA" w:rsidP="009F24E6">
            <w:pPr>
              <w:jc w:val="right"/>
              <w:rPr>
                <w:sz w:val="18"/>
                <w:szCs w:val="18"/>
              </w:rPr>
            </w:pPr>
            <w:r>
              <w:rPr>
                <w:sz w:val="18"/>
                <w:szCs w:val="18"/>
              </w:rPr>
              <w:t>164,5</w:t>
            </w:r>
          </w:p>
        </w:tc>
        <w:tc>
          <w:tcPr>
            <w:tcW w:w="1268" w:type="dxa"/>
            <w:shd w:val="clear" w:color="auto" w:fill="auto"/>
          </w:tcPr>
          <w:p w:rsidR="00C83EEA" w:rsidRDefault="00C83EEA" w:rsidP="009F24E6">
            <w:pPr>
              <w:jc w:val="right"/>
              <w:rPr>
                <w:sz w:val="18"/>
                <w:szCs w:val="18"/>
              </w:rPr>
            </w:pPr>
          </w:p>
        </w:tc>
        <w:tc>
          <w:tcPr>
            <w:tcW w:w="1163" w:type="dxa"/>
            <w:shd w:val="clear" w:color="auto" w:fill="auto"/>
          </w:tcPr>
          <w:p w:rsidR="00C83EEA" w:rsidRDefault="00C83EEA" w:rsidP="009F24E6">
            <w:pPr>
              <w:jc w:val="right"/>
              <w:rPr>
                <w:sz w:val="18"/>
                <w:szCs w:val="18"/>
              </w:rPr>
            </w:pPr>
          </w:p>
        </w:tc>
        <w:tc>
          <w:tcPr>
            <w:tcW w:w="1162" w:type="dxa"/>
          </w:tcPr>
          <w:p w:rsidR="00C83EEA" w:rsidRDefault="00C83EEA" w:rsidP="009F24E6">
            <w:pPr>
              <w:jc w:val="right"/>
              <w:rPr>
                <w:sz w:val="18"/>
                <w:szCs w:val="18"/>
              </w:rPr>
            </w:pPr>
          </w:p>
        </w:tc>
        <w:tc>
          <w:tcPr>
            <w:tcW w:w="1136" w:type="dxa"/>
          </w:tcPr>
          <w:p w:rsidR="00C83EEA" w:rsidRDefault="00C83EEA" w:rsidP="009F24E6">
            <w:pPr>
              <w:jc w:val="right"/>
              <w:rPr>
                <w:sz w:val="18"/>
                <w:szCs w:val="18"/>
              </w:rPr>
            </w:pPr>
          </w:p>
        </w:tc>
      </w:tr>
      <w:tr w:rsidR="00C83EEA" w:rsidTr="009F24E6">
        <w:trPr>
          <w:trHeight w:val="208"/>
        </w:trPr>
        <w:tc>
          <w:tcPr>
            <w:tcW w:w="2320" w:type="dxa"/>
            <w:vMerge/>
            <w:shd w:val="clear" w:color="auto" w:fill="auto"/>
          </w:tcPr>
          <w:p w:rsidR="00C83EEA" w:rsidRDefault="00C83EEA" w:rsidP="009F24E6">
            <w:pPr>
              <w:rPr>
                <w:sz w:val="18"/>
                <w:szCs w:val="18"/>
              </w:rPr>
            </w:pPr>
          </w:p>
        </w:tc>
        <w:tc>
          <w:tcPr>
            <w:tcW w:w="1163" w:type="dxa"/>
            <w:shd w:val="clear" w:color="auto" w:fill="auto"/>
          </w:tcPr>
          <w:p w:rsidR="00C83EEA" w:rsidRDefault="00C83EEA" w:rsidP="009F24E6">
            <w:pPr>
              <w:jc w:val="right"/>
              <w:rPr>
                <w:sz w:val="18"/>
                <w:szCs w:val="18"/>
              </w:rPr>
            </w:pPr>
          </w:p>
        </w:tc>
        <w:tc>
          <w:tcPr>
            <w:tcW w:w="1163" w:type="dxa"/>
            <w:shd w:val="clear" w:color="auto" w:fill="auto"/>
          </w:tcPr>
          <w:p w:rsidR="00C83EEA" w:rsidRDefault="00C83EEA" w:rsidP="009F24E6">
            <w:pPr>
              <w:jc w:val="right"/>
              <w:rPr>
                <w:sz w:val="18"/>
                <w:szCs w:val="18"/>
              </w:rPr>
            </w:pPr>
          </w:p>
        </w:tc>
        <w:tc>
          <w:tcPr>
            <w:tcW w:w="1268" w:type="dxa"/>
            <w:shd w:val="clear" w:color="auto" w:fill="auto"/>
          </w:tcPr>
          <w:p w:rsidR="00C83EEA" w:rsidRDefault="00C83EEA" w:rsidP="009F24E6">
            <w:pPr>
              <w:jc w:val="right"/>
              <w:rPr>
                <w:sz w:val="18"/>
                <w:szCs w:val="18"/>
              </w:rPr>
            </w:pPr>
            <w:r>
              <w:rPr>
                <w:sz w:val="18"/>
                <w:szCs w:val="18"/>
              </w:rPr>
              <w:t>112,7</w:t>
            </w:r>
          </w:p>
        </w:tc>
        <w:tc>
          <w:tcPr>
            <w:tcW w:w="1163" w:type="dxa"/>
            <w:shd w:val="clear" w:color="auto" w:fill="auto"/>
          </w:tcPr>
          <w:p w:rsidR="00C83EEA" w:rsidRDefault="00C83EEA" w:rsidP="009F24E6">
            <w:pPr>
              <w:jc w:val="right"/>
              <w:rPr>
                <w:sz w:val="18"/>
                <w:szCs w:val="18"/>
              </w:rPr>
            </w:pPr>
            <w:r>
              <w:rPr>
                <w:sz w:val="18"/>
                <w:szCs w:val="18"/>
              </w:rPr>
              <w:t>162,9</w:t>
            </w:r>
          </w:p>
        </w:tc>
        <w:tc>
          <w:tcPr>
            <w:tcW w:w="1162" w:type="dxa"/>
          </w:tcPr>
          <w:p w:rsidR="00C83EEA" w:rsidRDefault="00C83EEA" w:rsidP="009F24E6">
            <w:pPr>
              <w:jc w:val="right"/>
              <w:rPr>
                <w:sz w:val="18"/>
                <w:szCs w:val="18"/>
              </w:rPr>
            </w:pPr>
          </w:p>
        </w:tc>
        <w:tc>
          <w:tcPr>
            <w:tcW w:w="1136" w:type="dxa"/>
          </w:tcPr>
          <w:p w:rsidR="00C83EEA" w:rsidRDefault="00C83EEA" w:rsidP="009F24E6">
            <w:pPr>
              <w:jc w:val="right"/>
              <w:rPr>
                <w:sz w:val="18"/>
                <w:szCs w:val="18"/>
              </w:rPr>
            </w:pPr>
          </w:p>
        </w:tc>
      </w:tr>
      <w:tr w:rsidR="00C83EEA" w:rsidTr="009F24E6">
        <w:trPr>
          <w:trHeight w:val="208"/>
        </w:trPr>
        <w:tc>
          <w:tcPr>
            <w:tcW w:w="2320" w:type="dxa"/>
            <w:vMerge/>
            <w:shd w:val="clear" w:color="auto" w:fill="auto"/>
          </w:tcPr>
          <w:p w:rsidR="00C83EEA" w:rsidRDefault="00C83EEA" w:rsidP="009F24E6">
            <w:pPr>
              <w:rPr>
                <w:sz w:val="18"/>
                <w:szCs w:val="18"/>
              </w:rPr>
            </w:pPr>
          </w:p>
        </w:tc>
        <w:tc>
          <w:tcPr>
            <w:tcW w:w="1163" w:type="dxa"/>
            <w:shd w:val="clear" w:color="auto" w:fill="auto"/>
          </w:tcPr>
          <w:p w:rsidR="00C83EEA" w:rsidRDefault="00C83EEA" w:rsidP="009F24E6">
            <w:pPr>
              <w:jc w:val="center"/>
              <w:rPr>
                <w:sz w:val="18"/>
                <w:szCs w:val="18"/>
              </w:rPr>
            </w:pPr>
          </w:p>
        </w:tc>
        <w:tc>
          <w:tcPr>
            <w:tcW w:w="1163" w:type="dxa"/>
            <w:shd w:val="clear" w:color="auto" w:fill="auto"/>
          </w:tcPr>
          <w:p w:rsidR="00C83EEA" w:rsidRDefault="00C83EEA" w:rsidP="009F24E6">
            <w:pPr>
              <w:jc w:val="center"/>
              <w:rPr>
                <w:sz w:val="18"/>
                <w:szCs w:val="18"/>
              </w:rPr>
            </w:pPr>
          </w:p>
        </w:tc>
        <w:tc>
          <w:tcPr>
            <w:tcW w:w="1268" w:type="dxa"/>
            <w:shd w:val="clear" w:color="auto" w:fill="auto"/>
          </w:tcPr>
          <w:p w:rsidR="00C83EEA" w:rsidRDefault="00C83EEA" w:rsidP="009F24E6">
            <w:pPr>
              <w:jc w:val="center"/>
              <w:rPr>
                <w:sz w:val="18"/>
                <w:szCs w:val="18"/>
              </w:rPr>
            </w:pPr>
          </w:p>
        </w:tc>
        <w:tc>
          <w:tcPr>
            <w:tcW w:w="1163" w:type="dxa"/>
            <w:shd w:val="clear" w:color="auto" w:fill="auto"/>
          </w:tcPr>
          <w:p w:rsidR="00C83EEA" w:rsidRDefault="00C83EEA" w:rsidP="009F24E6">
            <w:pPr>
              <w:jc w:val="center"/>
              <w:rPr>
                <w:sz w:val="18"/>
                <w:szCs w:val="18"/>
              </w:rPr>
            </w:pPr>
          </w:p>
        </w:tc>
        <w:tc>
          <w:tcPr>
            <w:tcW w:w="1162" w:type="dxa"/>
          </w:tcPr>
          <w:p w:rsidR="00C83EEA" w:rsidRDefault="00C83EEA" w:rsidP="009F24E6">
            <w:pPr>
              <w:jc w:val="right"/>
              <w:rPr>
                <w:sz w:val="18"/>
                <w:szCs w:val="18"/>
              </w:rPr>
            </w:pPr>
            <w:r>
              <w:rPr>
                <w:sz w:val="18"/>
                <w:szCs w:val="18"/>
              </w:rPr>
              <w:t>113,0</w:t>
            </w:r>
          </w:p>
        </w:tc>
        <w:tc>
          <w:tcPr>
            <w:tcW w:w="1136" w:type="dxa"/>
          </w:tcPr>
          <w:p w:rsidR="00C83EEA" w:rsidRDefault="00C83EEA" w:rsidP="009F24E6">
            <w:pPr>
              <w:jc w:val="right"/>
              <w:rPr>
                <w:sz w:val="18"/>
                <w:szCs w:val="18"/>
              </w:rPr>
            </w:pPr>
            <w:r>
              <w:rPr>
                <w:sz w:val="18"/>
                <w:szCs w:val="18"/>
              </w:rPr>
              <w:t>154,5</w:t>
            </w:r>
          </w:p>
        </w:tc>
      </w:tr>
      <w:tr w:rsidR="00C83EEA" w:rsidTr="009F24E6">
        <w:trPr>
          <w:trHeight w:val="208"/>
        </w:trPr>
        <w:tc>
          <w:tcPr>
            <w:tcW w:w="2320" w:type="dxa"/>
            <w:shd w:val="clear" w:color="auto" w:fill="auto"/>
          </w:tcPr>
          <w:p w:rsidR="00C83EEA" w:rsidRDefault="00C83EEA" w:rsidP="009F24E6">
            <w:pPr>
              <w:rPr>
                <w:sz w:val="18"/>
                <w:szCs w:val="18"/>
              </w:rPr>
            </w:pPr>
            <w:r>
              <w:rPr>
                <w:sz w:val="18"/>
                <w:szCs w:val="18"/>
              </w:rPr>
              <w:t> </w:t>
            </w:r>
          </w:p>
        </w:tc>
        <w:tc>
          <w:tcPr>
            <w:tcW w:w="2326" w:type="dxa"/>
            <w:gridSpan w:val="2"/>
            <w:shd w:val="clear" w:color="auto" w:fill="auto"/>
          </w:tcPr>
          <w:p w:rsidR="00C83EEA" w:rsidRDefault="00C83EEA" w:rsidP="009F24E6">
            <w:pPr>
              <w:jc w:val="center"/>
              <w:rPr>
                <w:sz w:val="18"/>
                <w:szCs w:val="18"/>
              </w:rPr>
            </w:pPr>
            <w:r>
              <w:rPr>
                <w:sz w:val="18"/>
                <w:szCs w:val="18"/>
              </w:rPr>
              <w:t>март к марту</w:t>
            </w:r>
          </w:p>
        </w:tc>
        <w:tc>
          <w:tcPr>
            <w:tcW w:w="2431" w:type="dxa"/>
            <w:gridSpan w:val="2"/>
            <w:shd w:val="clear" w:color="auto" w:fill="auto"/>
          </w:tcPr>
          <w:p w:rsidR="00C83EEA" w:rsidRDefault="00C83EEA" w:rsidP="009F24E6">
            <w:pPr>
              <w:jc w:val="center"/>
              <w:rPr>
                <w:sz w:val="18"/>
                <w:szCs w:val="18"/>
              </w:rPr>
            </w:pPr>
            <w:r>
              <w:rPr>
                <w:sz w:val="18"/>
                <w:szCs w:val="18"/>
              </w:rPr>
              <w:t>июнь к июню</w:t>
            </w:r>
          </w:p>
        </w:tc>
        <w:tc>
          <w:tcPr>
            <w:tcW w:w="2298" w:type="dxa"/>
            <w:gridSpan w:val="2"/>
          </w:tcPr>
          <w:p w:rsidR="00C83EEA" w:rsidRDefault="00C83EEA" w:rsidP="009F24E6">
            <w:pPr>
              <w:jc w:val="center"/>
              <w:rPr>
                <w:sz w:val="18"/>
                <w:szCs w:val="18"/>
              </w:rPr>
            </w:pPr>
            <w:r>
              <w:rPr>
                <w:sz w:val="18"/>
                <w:szCs w:val="18"/>
              </w:rPr>
              <w:t>август к августу</w:t>
            </w:r>
          </w:p>
        </w:tc>
      </w:tr>
      <w:tr w:rsidR="00C83EEA" w:rsidTr="009F24E6">
        <w:trPr>
          <w:trHeight w:val="208"/>
        </w:trPr>
        <w:tc>
          <w:tcPr>
            <w:tcW w:w="2320" w:type="dxa"/>
            <w:vMerge w:val="restart"/>
            <w:shd w:val="clear" w:color="auto" w:fill="auto"/>
          </w:tcPr>
          <w:p w:rsidR="00C83EEA" w:rsidRDefault="00C83EEA" w:rsidP="009F24E6">
            <w:pPr>
              <w:rPr>
                <w:sz w:val="18"/>
                <w:szCs w:val="18"/>
              </w:rPr>
            </w:pPr>
            <w:r>
              <w:rPr>
                <w:sz w:val="18"/>
                <w:szCs w:val="18"/>
              </w:rPr>
              <w:t>Индекс потребительских цен</w:t>
            </w:r>
          </w:p>
        </w:tc>
        <w:tc>
          <w:tcPr>
            <w:tcW w:w="1163" w:type="dxa"/>
            <w:shd w:val="clear" w:color="auto" w:fill="auto"/>
          </w:tcPr>
          <w:p w:rsidR="00C83EEA" w:rsidRDefault="00C83EEA" w:rsidP="009F24E6">
            <w:pPr>
              <w:jc w:val="right"/>
              <w:rPr>
                <w:sz w:val="18"/>
                <w:szCs w:val="18"/>
              </w:rPr>
            </w:pPr>
            <w:r>
              <w:rPr>
                <w:sz w:val="18"/>
                <w:szCs w:val="18"/>
              </w:rPr>
              <w:t>108,9</w:t>
            </w:r>
          </w:p>
        </w:tc>
        <w:tc>
          <w:tcPr>
            <w:tcW w:w="1163" w:type="dxa"/>
            <w:shd w:val="clear" w:color="auto" w:fill="auto"/>
          </w:tcPr>
          <w:p w:rsidR="00C83EEA" w:rsidRDefault="00C83EEA" w:rsidP="009F24E6">
            <w:pPr>
              <w:jc w:val="right"/>
              <w:rPr>
                <w:sz w:val="18"/>
                <w:szCs w:val="18"/>
              </w:rPr>
            </w:pPr>
            <w:r>
              <w:rPr>
                <w:sz w:val="18"/>
                <w:szCs w:val="18"/>
              </w:rPr>
              <w:t>104,5</w:t>
            </w:r>
          </w:p>
        </w:tc>
        <w:tc>
          <w:tcPr>
            <w:tcW w:w="1268" w:type="dxa"/>
            <w:shd w:val="clear" w:color="auto" w:fill="auto"/>
          </w:tcPr>
          <w:p w:rsidR="00C83EEA" w:rsidRDefault="00C83EEA" w:rsidP="009F24E6">
            <w:pPr>
              <w:rPr>
                <w:sz w:val="18"/>
                <w:szCs w:val="18"/>
              </w:rPr>
            </w:pPr>
            <w:r>
              <w:rPr>
                <w:sz w:val="18"/>
                <w:szCs w:val="18"/>
              </w:rPr>
              <w:t> </w:t>
            </w:r>
          </w:p>
        </w:tc>
        <w:tc>
          <w:tcPr>
            <w:tcW w:w="1163" w:type="dxa"/>
            <w:shd w:val="clear" w:color="auto" w:fill="auto"/>
          </w:tcPr>
          <w:p w:rsidR="00C83EEA" w:rsidRDefault="00C83EEA" w:rsidP="009F24E6">
            <w:pPr>
              <w:rPr>
                <w:sz w:val="18"/>
                <w:szCs w:val="18"/>
              </w:rPr>
            </w:pPr>
            <w:r>
              <w:rPr>
                <w:sz w:val="18"/>
                <w:szCs w:val="18"/>
              </w:rPr>
              <w:t> </w:t>
            </w:r>
          </w:p>
        </w:tc>
        <w:tc>
          <w:tcPr>
            <w:tcW w:w="1162" w:type="dxa"/>
            <w:shd w:val="clear" w:color="auto" w:fill="auto"/>
          </w:tcPr>
          <w:p w:rsidR="00C83EEA" w:rsidRDefault="00C83EEA" w:rsidP="009F24E6">
            <w:pPr>
              <w:rPr>
                <w:sz w:val="18"/>
                <w:szCs w:val="18"/>
              </w:rPr>
            </w:pPr>
          </w:p>
        </w:tc>
        <w:tc>
          <w:tcPr>
            <w:tcW w:w="1136" w:type="dxa"/>
            <w:shd w:val="clear" w:color="auto" w:fill="auto"/>
          </w:tcPr>
          <w:p w:rsidR="00C83EEA" w:rsidRDefault="00C83EEA" w:rsidP="009F24E6">
            <w:pPr>
              <w:rPr>
                <w:sz w:val="18"/>
                <w:szCs w:val="18"/>
              </w:rPr>
            </w:pPr>
          </w:p>
        </w:tc>
      </w:tr>
      <w:tr w:rsidR="00C83EEA" w:rsidTr="009F24E6">
        <w:trPr>
          <w:trHeight w:val="208"/>
        </w:trPr>
        <w:tc>
          <w:tcPr>
            <w:tcW w:w="2320" w:type="dxa"/>
            <w:vMerge/>
            <w:vAlign w:val="center"/>
          </w:tcPr>
          <w:p w:rsidR="00C83EEA" w:rsidRDefault="00C83EEA" w:rsidP="009F24E6">
            <w:pPr>
              <w:rPr>
                <w:sz w:val="18"/>
                <w:szCs w:val="18"/>
              </w:rPr>
            </w:pPr>
          </w:p>
        </w:tc>
        <w:tc>
          <w:tcPr>
            <w:tcW w:w="1163" w:type="dxa"/>
            <w:shd w:val="clear" w:color="auto" w:fill="auto"/>
          </w:tcPr>
          <w:p w:rsidR="00C83EEA" w:rsidRDefault="00C83EEA" w:rsidP="009F24E6">
            <w:pPr>
              <w:rPr>
                <w:sz w:val="18"/>
                <w:szCs w:val="18"/>
              </w:rPr>
            </w:pPr>
            <w:r>
              <w:rPr>
                <w:sz w:val="18"/>
                <w:szCs w:val="18"/>
              </w:rPr>
              <w:t> </w:t>
            </w:r>
          </w:p>
        </w:tc>
        <w:tc>
          <w:tcPr>
            <w:tcW w:w="1163" w:type="dxa"/>
            <w:shd w:val="clear" w:color="auto" w:fill="auto"/>
          </w:tcPr>
          <w:p w:rsidR="00C83EEA" w:rsidRDefault="00C83EEA" w:rsidP="009F24E6">
            <w:pPr>
              <w:rPr>
                <w:sz w:val="18"/>
                <w:szCs w:val="18"/>
              </w:rPr>
            </w:pPr>
            <w:r>
              <w:rPr>
                <w:sz w:val="18"/>
                <w:szCs w:val="18"/>
              </w:rPr>
              <w:t> </w:t>
            </w:r>
          </w:p>
        </w:tc>
        <w:tc>
          <w:tcPr>
            <w:tcW w:w="1268" w:type="dxa"/>
            <w:shd w:val="clear" w:color="auto" w:fill="auto"/>
          </w:tcPr>
          <w:p w:rsidR="00C83EEA" w:rsidRDefault="00C83EEA" w:rsidP="009F24E6">
            <w:pPr>
              <w:jc w:val="right"/>
            </w:pPr>
            <w:r w:rsidRPr="001A6182">
              <w:rPr>
                <w:sz w:val="18"/>
                <w:szCs w:val="18"/>
              </w:rPr>
              <w:t>108,</w:t>
            </w:r>
            <w:r>
              <w:rPr>
                <w:sz w:val="18"/>
                <w:szCs w:val="18"/>
              </w:rPr>
              <w:t>9</w:t>
            </w:r>
          </w:p>
        </w:tc>
        <w:tc>
          <w:tcPr>
            <w:tcW w:w="1163" w:type="dxa"/>
            <w:shd w:val="clear" w:color="auto" w:fill="auto"/>
          </w:tcPr>
          <w:p w:rsidR="00C83EEA" w:rsidRPr="00CD5C08" w:rsidRDefault="00C83EEA" w:rsidP="009F24E6">
            <w:pPr>
              <w:jc w:val="right"/>
              <w:rPr>
                <w:sz w:val="20"/>
                <w:szCs w:val="20"/>
              </w:rPr>
            </w:pPr>
            <w:r w:rsidRPr="00CD5C08">
              <w:rPr>
                <w:sz w:val="20"/>
                <w:szCs w:val="20"/>
              </w:rPr>
              <w:t>104,7</w:t>
            </w:r>
          </w:p>
        </w:tc>
        <w:tc>
          <w:tcPr>
            <w:tcW w:w="1162" w:type="dxa"/>
            <w:shd w:val="clear" w:color="auto" w:fill="auto"/>
          </w:tcPr>
          <w:p w:rsidR="00C83EEA" w:rsidRDefault="00C83EEA" w:rsidP="009F24E6">
            <w:pPr>
              <w:rPr>
                <w:sz w:val="18"/>
                <w:szCs w:val="18"/>
              </w:rPr>
            </w:pPr>
          </w:p>
        </w:tc>
        <w:tc>
          <w:tcPr>
            <w:tcW w:w="1136" w:type="dxa"/>
            <w:shd w:val="clear" w:color="auto" w:fill="auto"/>
          </w:tcPr>
          <w:p w:rsidR="00C83EEA" w:rsidRDefault="00C83EEA" w:rsidP="009F24E6">
            <w:pPr>
              <w:rPr>
                <w:sz w:val="18"/>
                <w:szCs w:val="18"/>
              </w:rPr>
            </w:pPr>
          </w:p>
        </w:tc>
      </w:tr>
      <w:tr w:rsidR="00C83EEA" w:rsidTr="009F24E6">
        <w:trPr>
          <w:trHeight w:val="208"/>
        </w:trPr>
        <w:tc>
          <w:tcPr>
            <w:tcW w:w="2320" w:type="dxa"/>
            <w:vMerge/>
            <w:vAlign w:val="center"/>
          </w:tcPr>
          <w:p w:rsidR="00C83EEA" w:rsidRDefault="00C83EEA" w:rsidP="009F24E6">
            <w:pPr>
              <w:rPr>
                <w:sz w:val="18"/>
                <w:szCs w:val="18"/>
              </w:rPr>
            </w:pPr>
          </w:p>
        </w:tc>
        <w:tc>
          <w:tcPr>
            <w:tcW w:w="1163" w:type="dxa"/>
            <w:shd w:val="clear" w:color="auto" w:fill="auto"/>
          </w:tcPr>
          <w:p w:rsidR="00C83EEA" w:rsidRDefault="00C83EEA" w:rsidP="009F24E6">
            <w:pPr>
              <w:rPr>
                <w:sz w:val="18"/>
                <w:szCs w:val="18"/>
              </w:rPr>
            </w:pPr>
          </w:p>
        </w:tc>
        <w:tc>
          <w:tcPr>
            <w:tcW w:w="1163" w:type="dxa"/>
            <w:shd w:val="clear" w:color="auto" w:fill="auto"/>
          </w:tcPr>
          <w:p w:rsidR="00C83EEA" w:rsidRDefault="00C83EEA" w:rsidP="009F24E6">
            <w:pPr>
              <w:rPr>
                <w:sz w:val="18"/>
                <w:szCs w:val="18"/>
              </w:rPr>
            </w:pPr>
          </w:p>
        </w:tc>
        <w:tc>
          <w:tcPr>
            <w:tcW w:w="1268" w:type="dxa"/>
            <w:shd w:val="clear" w:color="auto" w:fill="auto"/>
          </w:tcPr>
          <w:p w:rsidR="00C83EEA" w:rsidRDefault="00C83EEA" w:rsidP="009F24E6">
            <w:pPr>
              <w:rPr>
                <w:sz w:val="18"/>
                <w:szCs w:val="18"/>
              </w:rPr>
            </w:pPr>
          </w:p>
        </w:tc>
        <w:tc>
          <w:tcPr>
            <w:tcW w:w="1163" w:type="dxa"/>
            <w:shd w:val="clear" w:color="auto" w:fill="auto"/>
          </w:tcPr>
          <w:p w:rsidR="00C83EEA" w:rsidRDefault="00C83EEA" w:rsidP="009F24E6">
            <w:pPr>
              <w:rPr>
                <w:sz w:val="18"/>
                <w:szCs w:val="18"/>
              </w:rPr>
            </w:pPr>
          </w:p>
        </w:tc>
        <w:tc>
          <w:tcPr>
            <w:tcW w:w="1162" w:type="dxa"/>
            <w:shd w:val="clear" w:color="auto" w:fill="auto"/>
          </w:tcPr>
          <w:p w:rsidR="00C83EEA" w:rsidRDefault="00C83EEA" w:rsidP="009F24E6">
            <w:pPr>
              <w:jc w:val="right"/>
              <w:rPr>
                <w:sz w:val="18"/>
                <w:szCs w:val="18"/>
              </w:rPr>
            </w:pPr>
            <w:r>
              <w:rPr>
                <w:sz w:val="18"/>
                <w:szCs w:val="18"/>
              </w:rPr>
              <w:t>108,7</w:t>
            </w:r>
          </w:p>
        </w:tc>
        <w:tc>
          <w:tcPr>
            <w:tcW w:w="1136" w:type="dxa"/>
            <w:shd w:val="clear" w:color="auto" w:fill="auto"/>
          </w:tcPr>
          <w:p w:rsidR="00C83EEA" w:rsidRDefault="00C83EEA" w:rsidP="009F24E6">
            <w:pPr>
              <w:jc w:val="right"/>
              <w:rPr>
                <w:sz w:val="18"/>
                <w:szCs w:val="18"/>
              </w:rPr>
            </w:pPr>
            <w:r>
              <w:rPr>
                <w:sz w:val="18"/>
                <w:szCs w:val="18"/>
              </w:rPr>
              <w:t>105,0</w:t>
            </w:r>
          </w:p>
        </w:tc>
      </w:tr>
      <w:tr w:rsidR="00C83EEA" w:rsidTr="009F24E6">
        <w:trPr>
          <w:trHeight w:val="208"/>
        </w:trPr>
        <w:tc>
          <w:tcPr>
            <w:tcW w:w="2320" w:type="dxa"/>
            <w:vMerge w:val="restart"/>
          </w:tcPr>
          <w:p w:rsidR="00C83EEA" w:rsidRDefault="00C83EEA" w:rsidP="009F24E6">
            <w:pPr>
              <w:rPr>
                <w:sz w:val="18"/>
                <w:szCs w:val="18"/>
              </w:rPr>
            </w:pPr>
            <w:r>
              <w:rPr>
                <w:sz w:val="18"/>
                <w:szCs w:val="18"/>
              </w:rPr>
              <w:t>Инвестиции в основной капитал</w:t>
            </w:r>
          </w:p>
        </w:tc>
        <w:tc>
          <w:tcPr>
            <w:tcW w:w="1163" w:type="dxa"/>
            <w:shd w:val="clear" w:color="auto" w:fill="auto"/>
          </w:tcPr>
          <w:p w:rsidR="00C83EEA" w:rsidRDefault="00C83EEA" w:rsidP="009F24E6">
            <w:pPr>
              <w:jc w:val="right"/>
              <w:rPr>
                <w:sz w:val="18"/>
                <w:szCs w:val="18"/>
              </w:rPr>
            </w:pPr>
            <w:r>
              <w:rPr>
                <w:sz w:val="18"/>
                <w:szCs w:val="18"/>
              </w:rPr>
              <w:t>165,6</w:t>
            </w:r>
          </w:p>
        </w:tc>
        <w:tc>
          <w:tcPr>
            <w:tcW w:w="1163" w:type="dxa"/>
            <w:shd w:val="clear" w:color="auto" w:fill="auto"/>
          </w:tcPr>
          <w:p w:rsidR="00C83EEA" w:rsidRDefault="00C83EEA" w:rsidP="009F24E6">
            <w:pPr>
              <w:jc w:val="right"/>
              <w:rPr>
                <w:sz w:val="18"/>
                <w:szCs w:val="18"/>
              </w:rPr>
            </w:pPr>
            <w:r>
              <w:rPr>
                <w:sz w:val="18"/>
                <w:szCs w:val="18"/>
              </w:rPr>
              <w:t>99,7</w:t>
            </w:r>
          </w:p>
        </w:tc>
        <w:tc>
          <w:tcPr>
            <w:tcW w:w="1268" w:type="dxa"/>
            <w:shd w:val="clear" w:color="auto" w:fill="auto"/>
          </w:tcPr>
          <w:p w:rsidR="00C83EEA" w:rsidRDefault="00C83EEA" w:rsidP="009F24E6">
            <w:pPr>
              <w:rPr>
                <w:sz w:val="18"/>
                <w:szCs w:val="18"/>
              </w:rPr>
            </w:pPr>
            <w:r>
              <w:rPr>
                <w:sz w:val="18"/>
                <w:szCs w:val="18"/>
              </w:rPr>
              <w:t> </w:t>
            </w:r>
          </w:p>
        </w:tc>
        <w:tc>
          <w:tcPr>
            <w:tcW w:w="1163" w:type="dxa"/>
            <w:shd w:val="clear" w:color="auto" w:fill="auto"/>
          </w:tcPr>
          <w:p w:rsidR="00C83EEA" w:rsidRDefault="00C83EEA" w:rsidP="009F24E6">
            <w:pPr>
              <w:rPr>
                <w:sz w:val="18"/>
                <w:szCs w:val="18"/>
              </w:rPr>
            </w:pPr>
          </w:p>
        </w:tc>
        <w:tc>
          <w:tcPr>
            <w:tcW w:w="1162" w:type="dxa"/>
            <w:shd w:val="clear" w:color="auto" w:fill="auto"/>
          </w:tcPr>
          <w:p w:rsidR="00C83EEA" w:rsidRDefault="00C83EEA" w:rsidP="009F24E6">
            <w:pPr>
              <w:rPr>
                <w:sz w:val="18"/>
                <w:szCs w:val="18"/>
              </w:rPr>
            </w:pPr>
          </w:p>
        </w:tc>
        <w:tc>
          <w:tcPr>
            <w:tcW w:w="1136" w:type="dxa"/>
            <w:shd w:val="clear" w:color="auto" w:fill="auto"/>
          </w:tcPr>
          <w:p w:rsidR="00C83EEA" w:rsidRDefault="00C83EEA" w:rsidP="009F24E6">
            <w:pPr>
              <w:rPr>
                <w:sz w:val="18"/>
                <w:szCs w:val="18"/>
              </w:rPr>
            </w:pPr>
          </w:p>
        </w:tc>
      </w:tr>
      <w:tr w:rsidR="00C83EEA" w:rsidTr="009F24E6">
        <w:trPr>
          <w:trHeight w:val="208"/>
        </w:trPr>
        <w:tc>
          <w:tcPr>
            <w:tcW w:w="2320" w:type="dxa"/>
            <w:vMerge/>
            <w:vAlign w:val="center"/>
          </w:tcPr>
          <w:p w:rsidR="00C83EEA" w:rsidRDefault="00C83EEA" w:rsidP="009F24E6">
            <w:pPr>
              <w:rPr>
                <w:sz w:val="18"/>
                <w:szCs w:val="18"/>
              </w:rPr>
            </w:pPr>
          </w:p>
        </w:tc>
        <w:tc>
          <w:tcPr>
            <w:tcW w:w="1163" w:type="dxa"/>
            <w:shd w:val="clear" w:color="auto" w:fill="auto"/>
          </w:tcPr>
          <w:p w:rsidR="00C83EEA" w:rsidRDefault="00C83EEA" w:rsidP="009F24E6">
            <w:pPr>
              <w:rPr>
                <w:sz w:val="18"/>
                <w:szCs w:val="18"/>
              </w:rPr>
            </w:pPr>
            <w:r>
              <w:rPr>
                <w:sz w:val="18"/>
                <w:szCs w:val="18"/>
              </w:rPr>
              <w:t> </w:t>
            </w:r>
          </w:p>
        </w:tc>
        <w:tc>
          <w:tcPr>
            <w:tcW w:w="1163" w:type="dxa"/>
            <w:shd w:val="clear" w:color="auto" w:fill="auto"/>
          </w:tcPr>
          <w:p w:rsidR="00C83EEA" w:rsidRDefault="00C83EEA" w:rsidP="009F24E6">
            <w:pPr>
              <w:rPr>
                <w:sz w:val="18"/>
                <w:szCs w:val="18"/>
              </w:rPr>
            </w:pPr>
            <w:r>
              <w:rPr>
                <w:sz w:val="18"/>
                <w:szCs w:val="18"/>
              </w:rPr>
              <w:t> </w:t>
            </w:r>
          </w:p>
        </w:tc>
        <w:tc>
          <w:tcPr>
            <w:tcW w:w="1268" w:type="dxa"/>
            <w:shd w:val="clear" w:color="auto" w:fill="auto"/>
          </w:tcPr>
          <w:p w:rsidR="00C83EEA" w:rsidRDefault="00C83EEA" w:rsidP="009F24E6">
            <w:pPr>
              <w:jc w:val="right"/>
              <w:rPr>
                <w:sz w:val="18"/>
                <w:szCs w:val="18"/>
              </w:rPr>
            </w:pPr>
            <w:r>
              <w:rPr>
                <w:sz w:val="18"/>
                <w:szCs w:val="18"/>
              </w:rPr>
              <w:t>101,4</w:t>
            </w:r>
          </w:p>
        </w:tc>
        <w:tc>
          <w:tcPr>
            <w:tcW w:w="1163" w:type="dxa"/>
            <w:shd w:val="clear" w:color="auto" w:fill="auto"/>
          </w:tcPr>
          <w:p w:rsidR="00C83EEA" w:rsidRDefault="00C83EEA" w:rsidP="009F24E6">
            <w:pPr>
              <w:jc w:val="right"/>
              <w:rPr>
                <w:sz w:val="18"/>
                <w:szCs w:val="18"/>
              </w:rPr>
            </w:pPr>
            <w:r>
              <w:rPr>
                <w:sz w:val="18"/>
                <w:szCs w:val="18"/>
              </w:rPr>
              <w:t>97,5</w:t>
            </w:r>
          </w:p>
        </w:tc>
        <w:tc>
          <w:tcPr>
            <w:tcW w:w="1162" w:type="dxa"/>
            <w:shd w:val="clear" w:color="auto" w:fill="auto"/>
          </w:tcPr>
          <w:p w:rsidR="00C83EEA" w:rsidRDefault="00C83EEA" w:rsidP="009F24E6">
            <w:pPr>
              <w:rPr>
                <w:sz w:val="18"/>
                <w:szCs w:val="18"/>
              </w:rPr>
            </w:pPr>
          </w:p>
        </w:tc>
        <w:tc>
          <w:tcPr>
            <w:tcW w:w="1136" w:type="dxa"/>
            <w:shd w:val="clear" w:color="auto" w:fill="auto"/>
          </w:tcPr>
          <w:p w:rsidR="00C83EEA" w:rsidRDefault="00C83EEA" w:rsidP="009F24E6">
            <w:pPr>
              <w:rPr>
                <w:sz w:val="18"/>
                <w:szCs w:val="18"/>
              </w:rPr>
            </w:pPr>
          </w:p>
        </w:tc>
      </w:tr>
      <w:tr w:rsidR="00C83EEA" w:rsidTr="009F24E6">
        <w:trPr>
          <w:trHeight w:val="208"/>
        </w:trPr>
        <w:tc>
          <w:tcPr>
            <w:tcW w:w="2320" w:type="dxa"/>
            <w:vMerge/>
            <w:vAlign w:val="center"/>
          </w:tcPr>
          <w:p w:rsidR="00C83EEA" w:rsidRDefault="00C83EEA" w:rsidP="009F24E6">
            <w:pPr>
              <w:rPr>
                <w:sz w:val="18"/>
                <w:szCs w:val="18"/>
              </w:rPr>
            </w:pPr>
          </w:p>
        </w:tc>
        <w:tc>
          <w:tcPr>
            <w:tcW w:w="1163" w:type="dxa"/>
            <w:shd w:val="clear" w:color="auto" w:fill="auto"/>
          </w:tcPr>
          <w:p w:rsidR="00C83EEA" w:rsidRDefault="00C83EEA" w:rsidP="009F24E6">
            <w:pPr>
              <w:rPr>
                <w:sz w:val="18"/>
                <w:szCs w:val="18"/>
              </w:rPr>
            </w:pPr>
          </w:p>
        </w:tc>
        <w:tc>
          <w:tcPr>
            <w:tcW w:w="1163" w:type="dxa"/>
            <w:shd w:val="clear" w:color="auto" w:fill="auto"/>
          </w:tcPr>
          <w:p w:rsidR="00C83EEA" w:rsidRDefault="00C83EEA" w:rsidP="009F24E6">
            <w:pPr>
              <w:rPr>
                <w:sz w:val="18"/>
                <w:szCs w:val="18"/>
              </w:rPr>
            </w:pPr>
          </w:p>
        </w:tc>
        <w:tc>
          <w:tcPr>
            <w:tcW w:w="1268" w:type="dxa"/>
            <w:shd w:val="clear" w:color="auto" w:fill="auto"/>
          </w:tcPr>
          <w:p w:rsidR="00C83EEA" w:rsidRDefault="00C83EEA" w:rsidP="009F24E6">
            <w:pPr>
              <w:rPr>
                <w:sz w:val="18"/>
                <w:szCs w:val="18"/>
              </w:rPr>
            </w:pPr>
          </w:p>
        </w:tc>
        <w:tc>
          <w:tcPr>
            <w:tcW w:w="1163" w:type="dxa"/>
            <w:shd w:val="clear" w:color="auto" w:fill="auto"/>
          </w:tcPr>
          <w:p w:rsidR="00C83EEA" w:rsidRDefault="00C83EEA" w:rsidP="009F24E6">
            <w:pPr>
              <w:rPr>
                <w:sz w:val="18"/>
                <w:szCs w:val="18"/>
              </w:rPr>
            </w:pPr>
          </w:p>
        </w:tc>
        <w:tc>
          <w:tcPr>
            <w:tcW w:w="1162" w:type="dxa"/>
            <w:shd w:val="clear" w:color="auto" w:fill="auto"/>
          </w:tcPr>
          <w:p w:rsidR="00C83EEA" w:rsidRDefault="00C83EEA" w:rsidP="009F24E6">
            <w:pPr>
              <w:jc w:val="right"/>
              <w:rPr>
                <w:sz w:val="18"/>
                <w:szCs w:val="18"/>
              </w:rPr>
            </w:pPr>
            <w:r>
              <w:rPr>
                <w:sz w:val="18"/>
                <w:szCs w:val="18"/>
              </w:rPr>
              <w:t>127,5</w:t>
            </w:r>
          </w:p>
        </w:tc>
        <w:tc>
          <w:tcPr>
            <w:tcW w:w="1136" w:type="dxa"/>
            <w:shd w:val="clear" w:color="auto" w:fill="auto"/>
          </w:tcPr>
          <w:p w:rsidR="00C83EEA" w:rsidRDefault="00C83EEA" w:rsidP="009F24E6">
            <w:pPr>
              <w:jc w:val="right"/>
              <w:rPr>
                <w:sz w:val="18"/>
                <w:szCs w:val="18"/>
              </w:rPr>
            </w:pPr>
            <w:r>
              <w:rPr>
                <w:sz w:val="18"/>
                <w:szCs w:val="18"/>
              </w:rPr>
              <w:t>нет данных</w:t>
            </w:r>
          </w:p>
        </w:tc>
      </w:tr>
    </w:tbl>
    <w:p w:rsidR="00C83EEA" w:rsidRDefault="00C83EEA" w:rsidP="00C83EEA">
      <w:pPr>
        <w:ind w:firstLine="708"/>
        <w:jc w:val="both"/>
      </w:pPr>
    </w:p>
    <w:p w:rsidR="00C83EEA" w:rsidRDefault="00C83EEA" w:rsidP="00C83EEA">
      <w:pPr>
        <w:ind w:firstLine="708"/>
        <w:jc w:val="both"/>
      </w:pPr>
      <w:r>
        <w:t>Динамика макроэкономических показателей и высокие рейтинговые позиции региона в сравнении с Россией и субъектами СФО подтверждают опережающие темпы восстановления экономики области относительно среднероссийского уровня.</w:t>
      </w:r>
    </w:p>
    <w:p w:rsidR="00C83EEA" w:rsidRPr="008107CF" w:rsidRDefault="00C83EEA" w:rsidP="00C83EEA">
      <w:pPr>
        <w:ind w:firstLine="708"/>
        <w:jc w:val="both"/>
      </w:pPr>
      <w:r>
        <w:rPr>
          <w:noProof/>
        </w:rPr>
        <w:lastRenderedPageBreak/>
        <w:drawing>
          <wp:inline distT="0" distB="0" distL="0" distR="0">
            <wp:extent cx="5372100" cy="273367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72100" cy="2733675"/>
                    </a:xfrm>
                    <a:prstGeom prst="rect">
                      <a:avLst/>
                    </a:prstGeom>
                    <a:noFill/>
                    <a:ln>
                      <a:noFill/>
                    </a:ln>
                  </pic:spPr>
                </pic:pic>
              </a:graphicData>
            </a:graphic>
          </wp:inline>
        </w:drawing>
      </w:r>
    </w:p>
    <w:p w:rsidR="00C83EEA" w:rsidRDefault="00C83EEA" w:rsidP="00C83EEA">
      <w:pPr>
        <w:jc w:val="both"/>
      </w:pPr>
    </w:p>
    <w:p w:rsidR="00C83EEA" w:rsidRDefault="00C83EEA" w:rsidP="00C83EEA">
      <w:pPr>
        <w:ind w:firstLine="708"/>
        <w:jc w:val="both"/>
      </w:pPr>
      <w:r>
        <w:t xml:space="preserve">Таким образом, пессимистические </w:t>
      </w:r>
      <w:r w:rsidRPr="001B4B7B">
        <w:rPr>
          <w:b/>
        </w:rPr>
        <w:t>прогнозы по уровню ВРП Томской области на 2012 год (снижение до 102,8% - ниже общероссийского) и на 2014 год (ниже</w:t>
      </w:r>
      <w:r w:rsidRPr="001B4B7B">
        <w:rPr>
          <w:b/>
          <w:i/>
        </w:rPr>
        <w:t xml:space="preserve"> </w:t>
      </w:r>
      <w:r w:rsidRPr="001B4B7B">
        <w:rPr>
          <w:b/>
        </w:rPr>
        <w:t xml:space="preserve">общероссийского показателя на 0,5 </w:t>
      </w:r>
      <w:proofErr w:type="spellStart"/>
      <w:r w:rsidRPr="001B4B7B">
        <w:rPr>
          <w:b/>
        </w:rPr>
        <w:t>п.п</w:t>
      </w:r>
      <w:proofErr w:type="spellEnd"/>
      <w:r w:rsidRPr="001B4B7B">
        <w:rPr>
          <w:b/>
        </w:rPr>
        <w:t>.) не имеют достаточного обоснования и должны быть критически оценены при рассмотрении и утверждении законопроекта.</w:t>
      </w:r>
      <w:r>
        <w:t xml:space="preserve"> Учитывая положительный потенциал экономики области, прогноз по ВРП на 2012 и 2014 годы может быть скорректирован, но не ниже уровня ВВП России, а именно до 103,5 и 104,3% соответственно.</w:t>
      </w:r>
    </w:p>
    <w:p w:rsidR="00C83EEA" w:rsidRDefault="00C83EEA" w:rsidP="00C83EEA">
      <w:pPr>
        <w:spacing w:line="25" w:lineRule="atLeast"/>
        <w:ind w:firstLine="708"/>
        <w:jc w:val="both"/>
      </w:pPr>
      <w:r>
        <w:t>В целом отсутствие утвержденной Программы социально-экономического развития Томской области на среднесрочный период (с увязкой показателей прогнозирования по целям, задачам, ресурсам и срокам реализации мероприятий) на этапе составления прогноза социально-экономического развития Томской области и проекта областного бюджета на период 2013–2015 годов не позволяет в высокой степени обосновать достоверность и реалистичность прогнозирования.</w:t>
      </w:r>
    </w:p>
    <w:p w:rsidR="00C83EEA" w:rsidRDefault="00C83EEA" w:rsidP="00C83EEA">
      <w:pPr>
        <w:spacing w:line="25" w:lineRule="atLeast"/>
        <w:ind w:firstLine="708"/>
        <w:jc w:val="both"/>
      </w:pPr>
    </w:p>
    <w:p w:rsidR="00C83EEA" w:rsidRDefault="00C83EEA" w:rsidP="00C83EEA">
      <w:pPr>
        <w:spacing w:line="25" w:lineRule="atLeast"/>
        <w:ind w:firstLine="720"/>
        <w:jc w:val="both"/>
        <w:rPr>
          <w:b/>
        </w:rPr>
      </w:pPr>
      <w:r w:rsidRPr="00D41D70">
        <w:rPr>
          <w:b/>
        </w:rPr>
        <w:t>4. Оценка</w:t>
      </w:r>
      <w:r>
        <w:rPr>
          <w:b/>
        </w:rPr>
        <w:t xml:space="preserve"> достоверности о</w:t>
      </w:r>
      <w:r w:rsidRPr="00457E4F">
        <w:rPr>
          <w:b/>
        </w:rPr>
        <w:t>жидаемо</w:t>
      </w:r>
      <w:r>
        <w:rPr>
          <w:b/>
        </w:rPr>
        <w:t>го исполнения консолидированного и областного бюджетов за текущий год и прогноза поступлений по доходным источникам на планируемый период.</w:t>
      </w:r>
    </w:p>
    <w:p w:rsidR="00C83EEA" w:rsidRDefault="00C83EEA" w:rsidP="00C83EEA">
      <w:pPr>
        <w:spacing w:before="120" w:line="25" w:lineRule="atLeast"/>
        <w:ind w:firstLine="709"/>
        <w:jc w:val="both"/>
      </w:pPr>
      <w:r>
        <w:t xml:space="preserve">Ожидаемое исполнение консолидированного бюджета Томской области за 2012 год в целом по доходам по оценке Администрации может составить 50 280 762,2 </w:t>
      </w:r>
      <w:proofErr w:type="spellStart"/>
      <w:r>
        <w:t>тыс</w:t>
      </w:r>
      <w:proofErr w:type="gramStart"/>
      <w:r>
        <w:t>.р</w:t>
      </w:r>
      <w:proofErr w:type="gramEnd"/>
      <w:r>
        <w:t>уб</w:t>
      </w:r>
      <w:proofErr w:type="spellEnd"/>
      <w:r>
        <w:t>., с темпом роста к уровню 2011 года – 95,9%, в сопоставимых ценах – 90,8%, в том числе:</w:t>
      </w:r>
    </w:p>
    <w:p w:rsidR="00C83EEA" w:rsidRDefault="00C83EEA" w:rsidP="00C83EEA">
      <w:pPr>
        <w:spacing w:line="25" w:lineRule="atLeast"/>
        <w:jc w:val="both"/>
      </w:pPr>
      <w:r>
        <w:t xml:space="preserve">- по налоговым и неналоговым доходам 41 300 715,0 </w:t>
      </w:r>
      <w:proofErr w:type="spellStart"/>
      <w:r>
        <w:t>тыс</w:t>
      </w:r>
      <w:proofErr w:type="gramStart"/>
      <w:r>
        <w:t>.р</w:t>
      </w:r>
      <w:proofErr w:type="gramEnd"/>
      <w:r>
        <w:t>уб</w:t>
      </w:r>
      <w:proofErr w:type="spellEnd"/>
      <w:r>
        <w:t>., с темпом роста – 112,2%, в сопоставимых ценах – 104,9%,</w:t>
      </w:r>
    </w:p>
    <w:p w:rsidR="00C83EEA" w:rsidRDefault="00C83EEA" w:rsidP="00C83EEA">
      <w:pPr>
        <w:spacing w:line="25" w:lineRule="atLeast"/>
        <w:jc w:val="both"/>
      </w:pPr>
      <w:r>
        <w:t xml:space="preserve">- по безвозмездным поступлениям 8 980 047,2 </w:t>
      </w:r>
      <w:proofErr w:type="spellStart"/>
      <w:r>
        <w:t>тыс</w:t>
      </w:r>
      <w:proofErr w:type="gramStart"/>
      <w:r>
        <w:t>.р</w:t>
      </w:r>
      <w:proofErr w:type="gramEnd"/>
      <w:r>
        <w:t>уб</w:t>
      </w:r>
      <w:proofErr w:type="spellEnd"/>
      <w:r>
        <w:t>., с темпом роста – 57,5%, в сопоставимых ценах – 54,5%.</w:t>
      </w:r>
    </w:p>
    <w:p w:rsidR="00C83EEA" w:rsidRDefault="00C83EEA" w:rsidP="00C83EEA">
      <w:pPr>
        <w:spacing w:line="25" w:lineRule="atLeast"/>
        <w:jc w:val="both"/>
      </w:pPr>
      <w:r>
        <w:tab/>
        <w:t>Как было отмечено выше, согласно статистическим данным общая тенденция экономического развития области в 2012 году имеет положительное значение, позволяющее оценивать итоги текущего года как достаточно позитивные, что также подтверждается данными, изложенными в материалах и документах к законопроекту.</w:t>
      </w:r>
    </w:p>
    <w:p w:rsidR="00C83EEA" w:rsidRPr="000E7CC6" w:rsidRDefault="00C83EEA" w:rsidP="00C83EEA">
      <w:pPr>
        <w:spacing w:line="25" w:lineRule="atLeast"/>
        <w:jc w:val="both"/>
      </w:pPr>
      <w:r w:rsidRPr="000E7CC6">
        <w:tab/>
      </w:r>
      <w:proofErr w:type="gramStart"/>
      <w:r w:rsidRPr="000E7CC6">
        <w:t>Учитывая текущие показатели развития экономики, Контрольно</w:t>
      </w:r>
      <w:r>
        <w:t>-счетной</w:t>
      </w:r>
      <w:r w:rsidRPr="000E7CC6">
        <w:t xml:space="preserve"> палатой осуществлен перерасчет ожидаемого исполнения по налогу на прибыль организаций, налогу на доходы физических лиц</w:t>
      </w:r>
      <w:r>
        <w:t xml:space="preserve">, акцизам и </w:t>
      </w:r>
      <w:r w:rsidRPr="000E7CC6">
        <w:t xml:space="preserve">налогу на имущество организаций с учетом исполнения за </w:t>
      </w:r>
      <w:r>
        <w:t>8</w:t>
      </w:r>
      <w:r w:rsidRPr="000E7CC6">
        <w:t xml:space="preserve"> месяцев 201</w:t>
      </w:r>
      <w:r>
        <w:t>2</w:t>
      </w:r>
      <w:r w:rsidRPr="000E7CC6">
        <w:t xml:space="preserve"> года и среднегодового удельного веса прогнозируемого периода за последние </w:t>
      </w:r>
      <w:r>
        <w:t>9</w:t>
      </w:r>
      <w:r w:rsidRPr="000E7CC6">
        <w:t xml:space="preserve"> лет.</w:t>
      </w:r>
      <w:proofErr w:type="gramEnd"/>
      <w:r w:rsidRPr="000E7CC6">
        <w:t xml:space="preserve"> Согласно произведенным расчетам, ожидаемое исполнение по указанным налогам за 201</w:t>
      </w:r>
      <w:r>
        <w:t>2</w:t>
      </w:r>
      <w:r w:rsidRPr="000E7CC6">
        <w:t xml:space="preserve"> год по консолидированному и областному бюджету может быть несколько выше, что соответственно потребует корректировки прогнозных </w:t>
      </w:r>
      <w:r w:rsidRPr="000E7CC6">
        <w:lastRenderedPageBreak/>
        <w:t>показателей по этим доходным источникам на 201</w:t>
      </w:r>
      <w:r>
        <w:t>3</w:t>
      </w:r>
      <w:r w:rsidRPr="000E7CC6">
        <w:t xml:space="preserve"> год и на плановый период 201</w:t>
      </w:r>
      <w:r>
        <w:t>4</w:t>
      </w:r>
      <w:r w:rsidRPr="000E7CC6">
        <w:t xml:space="preserve"> и 201</w:t>
      </w:r>
      <w:r>
        <w:t>5</w:t>
      </w:r>
      <w:r w:rsidRPr="000E7CC6">
        <w:t xml:space="preserve"> годов.</w:t>
      </w:r>
    </w:p>
    <w:p w:rsidR="00C83EEA" w:rsidRDefault="00C83EEA" w:rsidP="00C83EEA"/>
    <w:p w:rsidR="00C83EEA" w:rsidRDefault="00C83EEA" w:rsidP="00C83EEA">
      <w:pPr>
        <w:ind w:firstLine="720"/>
        <w:rPr>
          <w:b/>
        </w:rPr>
      </w:pPr>
      <w:r>
        <w:rPr>
          <w:b/>
        </w:rPr>
        <w:t>5. Доходы областного бюджета</w:t>
      </w:r>
    </w:p>
    <w:p w:rsidR="00C83EEA" w:rsidRPr="00320940" w:rsidRDefault="00C83EEA" w:rsidP="00C83EEA">
      <w:pPr>
        <w:ind w:firstLine="720"/>
        <w:rPr>
          <w:b/>
        </w:rPr>
      </w:pPr>
    </w:p>
    <w:p w:rsidR="00C83EEA" w:rsidRDefault="00C83EEA" w:rsidP="00C83EEA">
      <w:pPr>
        <w:jc w:val="both"/>
      </w:pPr>
      <w:r>
        <w:rPr>
          <w:b/>
        </w:rPr>
        <w:t xml:space="preserve">5.1 </w:t>
      </w:r>
      <w:r w:rsidRPr="00980FCD">
        <w:rPr>
          <w:b/>
        </w:rPr>
        <w:t>Налог на прибыль организаций</w:t>
      </w:r>
      <w:r>
        <w:rPr>
          <w:b/>
        </w:rPr>
        <w:t>.</w:t>
      </w:r>
    </w:p>
    <w:p w:rsidR="00C83EEA" w:rsidRDefault="00C83EEA" w:rsidP="00C83EEA">
      <w:pPr>
        <w:spacing w:line="25" w:lineRule="atLeast"/>
        <w:ind w:firstLine="708"/>
        <w:jc w:val="both"/>
      </w:pPr>
      <w:r>
        <w:t xml:space="preserve">Ожидаемое исполнение областного бюджета в 2012 году по налогу на прибыль организаций по оценке Администрации составит 11 311,3 </w:t>
      </w:r>
      <w:proofErr w:type="spellStart"/>
      <w:r>
        <w:t>млн</w:t>
      </w:r>
      <w:proofErr w:type="gramStart"/>
      <w:r>
        <w:t>.р</w:t>
      </w:r>
      <w:proofErr w:type="gramEnd"/>
      <w:r>
        <w:t>уб</w:t>
      </w:r>
      <w:proofErr w:type="spellEnd"/>
      <w:r>
        <w:t>., темп роста к уровню  2011 года – 112,4% (без учета разовых поступлений - 127,6%), в сопоставимых ценах – 106,4%.</w:t>
      </w:r>
    </w:p>
    <w:p w:rsidR="00C83EEA" w:rsidRDefault="00C83EEA" w:rsidP="00C83EEA">
      <w:pPr>
        <w:spacing w:line="25" w:lineRule="atLeast"/>
        <w:jc w:val="both"/>
      </w:pPr>
      <w:r>
        <w:tab/>
        <w:t>В материалах и документах к законопроекту поступление налога на прибыль организаций в областной бюджет прогнозируется в следующих объемах:</w:t>
      </w:r>
    </w:p>
    <w:p w:rsidR="00C83EEA" w:rsidRDefault="00C83EEA" w:rsidP="00C83EEA">
      <w:pPr>
        <w:spacing w:line="25" w:lineRule="atLeast"/>
        <w:jc w:val="both"/>
      </w:pPr>
      <w:r>
        <w:t xml:space="preserve">- 13 326,3 </w:t>
      </w:r>
      <w:proofErr w:type="spellStart"/>
      <w:r>
        <w:t>млн</w:t>
      </w:r>
      <w:proofErr w:type="gramStart"/>
      <w:r>
        <w:t>.р</w:t>
      </w:r>
      <w:proofErr w:type="gramEnd"/>
      <w:r>
        <w:t>уб</w:t>
      </w:r>
      <w:proofErr w:type="spellEnd"/>
      <w:r>
        <w:t>. в 2013 году, с темпом роста 117,8%, в сопоставимых ценах – 110,6%;</w:t>
      </w:r>
    </w:p>
    <w:p w:rsidR="00C83EEA" w:rsidRDefault="00C83EEA" w:rsidP="00C83EEA">
      <w:pPr>
        <w:spacing w:line="25" w:lineRule="atLeast"/>
        <w:jc w:val="both"/>
      </w:pPr>
      <w:r>
        <w:t xml:space="preserve">- 14 248,8 </w:t>
      </w:r>
      <w:proofErr w:type="spellStart"/>
      <w:r>
        <w:t>млн</w:t>
      </w:r>
      <w:proofErr w:type="gramStart"/>
      <w:r>
        <w:t>.р</w:t>
      </w:r>
      <w:proofErr w:type="gramEnd"/>
      <w:r>
        <w:t>уб</w:t>
      </w:r>
      <w:proofErr w:type="spellEnd"/>
      <w:r>
        <w:t>. в 2014 году, с темпом роста 106,9%, в сопоставимых ценах – 101,2%;</w:t>
      </w:r>
    </w:p>
    <w:p w:rsidR="00C83EEA" w:rsidRDefault="00C83EEA" w:rsidP="00C83EEA">
      <w:pPr>
        <w:spacing w:line="25" w:lineRule="atLeast"/>
        <w:jc w:val="both"/>
      </w:pPr>
      <w:r>
        <w:t xml:space="preserve">- 15 782,1 </w:t>
      </w:r>
      <w:proofErr w:type="spellStart"/>
      <w:r>
        <w:t>млн</w:t>
      </w:r>
      <w:proofErr w:type="gramStart"/>
      <w:r>
        <w:t>.р</w:t>
      </w:r>
      <w:proofErr w:type="gramEnd"/>
      <w:r>
        <w:t>уб</w:t>
      </w:r>
      <w:proofErr w:type="spellEnd"/>
      <w:r>
        <w:t>. в 2015 году, с темпом роста 110,8%, в сопоставимых ценах –105,5%.</w:t>
      </w:r>
    </w:p>
    <w:p w:rsidR="00C83EEA" w:rsidRDefault="00C83EEA" w:rsidP="00C83EEA">
      <w:pPr>
        <w:spacing w:line="25" w:lineRule="atLeast"/>
        <w:jc w:val="both"/>
      </w:pPr>
      <w:r>
        <w:tab/>
        <w:t>Доля налога на прибыль в объеме собственных доходов областного бюджета в 2012 году прогнозируется в размере 35,9% с увеличением в 2013 году до 36,5% и дальнейшим сокращением до 33,9%.</w:t>
      </w:r>
    </w:p>
    <w:p w:rsidR="00C83EEA" w:rsidRPr="001D5775" w:rsidRDefault="00C83EEA" w:rsidP="00C83EEA">
      <w:pPr>
        <w:spacing w:line="25" w:lineRule="atLeast"/>
        <w:ind w:left="900" w:firstLine="360"/>
        <w:jc w:val="both"/>
      </w:pPr>
      <w:r>
        <w:rPr>
          <w:noProof/>
        </w:rPr>
        <w:drawing>
          <wp:inline distT="0" distB="0" distL="0" distR="0">
            <wp:extent cx="4029075" cy="21717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029075" cy="2171700"/>
                    </a:xfrm>
                    <a:prstGeom prst="rect">
                      <a:avLst/>
                    </a:prstGeom>
                    <a:noFill/>
                    <a:ln>
                      <a:noFill/>
                    </a:ln>
                  </pic:spPr>
                </pic:pic>
              </a:graphicData>
            </a:graphic>
          </wp:inline>
        </w:drawing>
      </w:r>
    </w:p>
    <w:p w:rsidR="00C83EEA" w:rsidRDefault="00C83EEA" w:rsidP="00C83EEA">
      <w:pPr>
        <w:spacing w:line="25" w:lineRule="atLeast"/>
        <w:ind w:firstLine="720"/>
        <w:jc w:val="both"/>
      </w:pPr>
      <w:r>
        <w:t>Контрольно-счетной палатой проведен анализ расчета налога на прибыль организаций на период 2013-2015 гг. по критериям и с учетом обстоятельств, указанных в материалах к законопроекту.</w:t>
      </w:r>
    </w:p>
    <w:p w:rsidR="00C83EEA" w:rsidRDefault="00C83EEA" w:rsidP="00C83EEA">
      <w:pPr>
        <w:spacing w:line="25" w:lineRule="atLeast"/>
        <w:ind w:firstLine="720"/>
        <w:jc w:val="both"/>
      </w:pPr>
      <w:r>
        <w:t xml:space="preserve">Прибыль организаций за 2012 год ожидается в размере 39 350,4 </w:t>
      </w:r>
      <w:proofErr w:type="spellStart"/>
      <w:r>
        <w:t>млн</w:t>
      </w:r>
      <w:proofErr w:type="gramStart"/>
      <w:r>
        <w:t>.р</w:t>
      </w:r>
      <w:proofErr w:type="gramEnd"/>
      <w:r>
        <w:t>уб</w:t>
      </w:r>
      <w:proofErr w:type="spellEnd"/>
      <w:r>
        <w:t>. с темпом роста к уровню 2011 года – 113,1%, в сопоставимых ценах – 107,1%. На период 2013-2015 гг. темп роста прибыли предприятий прогнозируется в размере 108,5%, 107,2% и 108,9%, в сопоставимых ценах – 101,9%, 101,5% и 103,7% соответственно.</w:t>
      </w:r>
    </w:p>
    <w:p w:rsidR="00C83EEA" w:rsidRPr="00EA2EED" w:rsidRDefault="00C83EEA" w:rsidP="00C83EEA">
      <w:pPr>
        <w:spacing w:line="25" w:lineRule="atLeast"/>
        <w:ind w:firstLine="708"/>
        <w:jc w:val="both"/>
      </w:pPr>
      <w:r>
        <w:rPr>
          <w:noProof/>
        </w:rPr>
        <w:lastRenderedPageBreak/>
        <w:drawing>
          <wp:inline distT="0" distB="0" distL="0" distR="0">
            <wp:extent cx="5067300" cy="27622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067300" cy="2762250"/>
                    </a:xfrm>
                    <a:prstGeom prst="rect">
                      <a:avLst/>
                    </a:prstGeom>
                    <a:noFill/>
                    <a:ln>
                      <a:noFill/>
                    </a:ln>
                  </pic:spPr>
                </pic:pic>
              </a:graphicData>
            </a:graphic>
          </wp:inline>
        </w:drawing>
      </w:r>
    </w:p>
    <w:p w:rsidR="00C83EEA" w:rsidRDefault="00C83EEA" w:rsidP="00C83EEA">
      <w:pPr>
        <w:spacing w:line="25" w:lineRule="atLeast"/>
        <w:jc w:val="both"/>
      </w:pPr>
      <w:r>
        <w:tab/>
      </w:r>
    </w:p>
    <w:p w:rsidR="00C83EEA" w:rsidRDefault="00C83EEA" w:rsidP="00C83EEA">
      <w:pPr>
        <w:spacing w:line="25" w:lineRule="atLeast"/>
        <w:ind w:firstLine="708"/>
        <w:jc w:val="both"/>
      </w:pPr>
      <w:r>
        <w:t xml:space="preserve">Представленная диаграмма наглядно показывает нестабильную динамику получения и накопления прибыли в деятельности прибыльных предприятий. Одновременно высокий показатель темпа роста в 2011 году связан, в основном, с эффектом базы. </w:t>
      </w:r>
    </w:p>
    <w:p w:rsidR="00C83EEA" w:rsidRDefault="00C83EEA" w:rsidP="00C83EEA">
      <w:pPr>
        <w:spacing w:before="120" w:line="25" w:lineRule="atLeast"/>
        <w:jc w:val="both"/>
      </w:pPr>
      <w:r>
        <w:tab/>
      </w:r>
      <w:proofErr w:type="gramStart"/>
      <w:r>
        <w:t xml:space="preserve">При формировании проекта областного бюджета на 2012 год Администрация прогнозировала снижение темпов роста прибыли прибыльных предприятий на 8,3 </w:t>
      </w:r>
      <w:proofErr w:type="spellStart"/>
      <w:r>
        <w:t>п.п</w:t>
      </w:r>
      <w:proofErr w:type="spellEnd"/>
      <w:r>
        <w:t xml:space="preserve">., снижение роста промышленного производства на 0,7 </w:t>
      </w:r>
      <w:proofErr w:type="spellStart"/>
      <w:r>
        <w:t>п.п</w:t>
      </w:r>
      <w:proofErr w:type="spellEnd"/>
      <w:r>
        <w:t xml:space="preserve">. при неизменном темпе роста ВРП – 104,3%. По итогам 8 месяцев 2012 года предлагается понизить ожидаемое развитие экономики на 1,5 </w:t>
      </w:r>
      <w:proofErr w:type="spellStart"/>
      <w:r>
        <w:t>п.п</w:t>
      </w:r>
      <w:proofErr w:type="spellEnd"/>
      <w:r>
        <w:t xml:space="preserve">. и прогнозируемое поступление прибыли на 10,1 </w:t>
      </w:r>
      <w:proofErr w:type="spellStart"/>
      <w:r>
        <w:t>п.п</w:t>
      </w:r>
      <w:proofErr w:type="spellEnd"/>
      <w:r>
        <w:t>. при увеличении прогнозного</w:t>
      </w:r>
      <w:proofErr w:type="gramEnd"/>
      <w:r>
        <w:t xml:space="preserve"> значения индекса промышленного производства на 0,4 </w:t>
      </w:r>
      <w:proofErr w:type="spellStart"/>
      <w:r>
        <w:t>п.п</w:t>
      </w:r>
      <w:proofErr w:type="spellEnd"/>
      <w:r>
        <w:t>.</w:t>
      </w:r>
    </w:p>
    <w:p w:rsidR="00C83EEA" w:rsidRDefault="00C83EEA" w:rsidP="00C83EEA">
      <w:pPr>
        <w:spacing w:line="25" w:lineRule="atLeast"/>
        <w:jc w:val="both"/>
      </w:pPr>
      <w:r>
        <w:tab/>
        <w:t xml:space="preserve">Прогноз Администрации на 2013 год по темпу роста прибыли выглядит крайне неблагоприятно (прирост к уровню 2012 года – 8,5%), что обосновано сокращением прибыли у основных плательщиков налога на прибыль. Одна из причин снижения объемов прибыли – снижение цены на нефть марки «Юралс» со 115 долл./баррель в 2012 году до 97 долл./баррель в 2013 году или на </w:t>
      </w:r>
      <w:r w:rsidRPr="00617139">
        <w:rPr>
          <w:b/>
        </w:rPr>
        <w:t>15,7%</w:t>
      </w:r>
      <w:r>
        <w:t xml:space="preserve">, что неизбежно может оказать влияние на объем платежей на прибыль организаций в областной бюджет. Выпадающие доходы областного бюджета по данным Администрации могут составить в 2013 году – 891,5 </w:t>
      </w:r>
      <w:proofErr w:type="spellStart"/>
      <w:r>
        <w:t>млн</w:t>
      </w:r>
      <w:proofErr w:type="gramStart"/>
      <w:r>
        <w:t>.р</w:t>
      </w:r>
      <w:proofErr w:type="gramEnd"/>
      <w:r>
        <w:t>уб</w:t>
      </w:r>
      <w:proofErr w:type="spellEnd"/>
      <w:r>
        <w:t xml:space="preserve">., в 2014 году – 827,3 </w:t>
      </w:r>
      <w:proofErr w:type="spellStart"/>
      <w:r>
        <w:t>млн.руб</w:t>
      </w:r>
      <w:proofErr w:type="spellEnd"/>
      <w:r>
        <w:t xml:space="preserve">., в 2015 году - 579,9 </w:t>
      </w:r>
      <w:proofErr w:type="spellStart"/>
      <w:r>
        <w:t>млн.руб</w:t>
      </w:r>
      <w:proofErr w:type="spellEnd"/>
      <w:r>
        <w:t>.</w:t>
      </w:r>
    </w:p>
    <w:p w:rsidR="00C83EEA" w:rsidRDefault="00C83EEA" w:rsidP="00C83EEA">
      <w:pPr>
        <w:spacing w:line="25" w:lineRule="atLeast"/>
        <w:ind w:firstLine="708"/>
        <w:jc w:val="both"/>
      </w:pPr>
      <w:r>
        <w:t xml:space="preserve">Уточненные параметры прогноза социально-экономического развития РФ на 2013-2015 годы отмечают повышение оценки роста ВВП на 2012 год на 0,1 </w:t>
      </w:r>
      <w:proofErr w:type="spellStart"/>
      <w:r>
        <w:t>п.п</w:t>
      </w:r>
      <w:proofErr w:type="spellEnd"/>
      <w:r>
        <w:t xml:space="preserve">., в результате улучшения оценки промышленного роста и более интенсивного замедления роста импорта. В 2013-2015 гг. прогноз роста ВВП понижен на 0,1-0,2 </w:t>
      </w:r>
      <w:proofErr w:type="spellStart"/>
      <w:r>
        <w:t>п.п</w:t>
      </w:r>
      <w:proofErr w:type="spellEnd"/>
      <w:r>
        <w:t xml:space="preserve">. в год в основном за счет снижения оценок физического роста экспорта. Снижение цены на нефть марки «Юралс» прогнозируется со 109 долл./баррель в 2012 году до 97 долл./баррель в 2013 году или на </w:t>
      </w:r>
      <w:r w:rsidRPr="00617139">
        <w:rPr>
          <w:b/>
        </w:rPr>
        <w:t>11%</w:t>
      </w:r>
      <w:r>
        <w:t>, что может повлечь за собой сокращение прибыли предприятий нефтедобывающего сектора экономики.</w:t>
      </w:r>
    </w:p>
    <w:p w:rsidR="00C83EEA" w:rsidRDefault="00C83EEA" w:rsidP="00C83EEA">
      <w:pPr>
        <w:spacing w:line="25" w:lineRule="atLeast"/>
        <w:ind w:firstLine="708"/>
        <w:jc w:val="both"/>
      </w:pPr>
      <w:proofErr w:type="gramStart"/>
      <w:r>
        <w:t>Расчет объема прибыли на 2013 год произведен Администрацией, исходя из более высокой цены на нефть в 2012 году, но с учетом фактического состояния экономики в текущем году прогноз относительно снижения цены на нефть может быть составлен менее пессимистично, что, тем не менее, не исключает сам факт возможного сокращения объемов прибыли нефтедобывающих предприятий.</w:t>
      </w:r>
      <w:proofErr w:type="gramEnd"/>
    </w:p>
    <w:p w:rsidR="00C83EEA" w:rsidRPr="006759B1" w:rsidRDefault="00C83EEA" w:rsidP="00C83EEA">
      <w:pPr>
        <w:jc w:val="both"/>
      </w:pPr>
      <w:r>
        <w:rPr>
          <w:noProof/>
        </w:rPr>
        <w:lastRenderedPageBreak/>
        <w:drawing>
          <wp:inline distT="0" distB="0" distL="0" distR="0">
            <wp:extent cx="5934075" cy="27241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34075" cy="2724150"/>
                    </a:xfrm>
                    <a:prstGeom prst="rect">
                      <a:avLst/>
                    </a:prstGeom>
                    <a:noFill/>
                    <a:ln>
                      <a:noFill/>
                    </a:ln>
                  </pic:spPr>
                </pic:pic>
              </a:graphicData>
            </a:graphic>
          </wp:inline>
        </w:drawing>
      </w:r>
    </w:p>
    <w:p w:rsidR="00C83EEA" w:rsidRDefault="00C83EEA" w:rsidP="00C83EEA">
      <w:pPr>
        <w:spacing w:line="25" w:lineRule="atLeast"/>
        <w:ind w:firstLine="708"/>
        <w:jc w:val="both"/>
      </w:pPr>
      <w:r>
        <w:t xml:space="preserve">Темп роста сальдированного финансового результата на 2012 год оценивается в размере 106,3%, а доля прибыльных предприятий в общем числе организаций принята на уровне 2011 года с последующим ежегодным увеличением доли на 2 </w:t>
      </w:r>
      <w:proofErr w:type="spellStart"/>
      <w:r>
        <w:t>п.п</w:t>
      </w:r>
      <w:proofErr w:type="spellEnd"/>
      <w:r>
        <w:t>. Темпы роста номинального объема прибыли на 2012-2013 годы прогнозируются со значительным «провалом» к уровню 2011 года, что неизбежно влечет за собой последующее сокращение поступлений налога на прибыль.</w:t>
      </w:r>
    </w:p>
    <w:p w:rsidR="00C83EEA" w:rsidRDefault="00C83EEA" w:rsidP="00C83EEA">
      <w:pPr>
        <w:spacing w:line="25" w:lineRule="atLeast"/>
        <w:ind w:firstLine="708"/>
        <w:jc w:val="both"/>
      </w:pPr>
      <w:r>
        <w:t xml:space="preserve">Однако по данным статистики за 8 месяцев текущего года прибыль составила 31 823,9 </w:t>
      </w:r>
      <w:proofErr w:type="spellStart"/>
      <w:r>
        <w:t>млн</w:t>
      </w:r>
      <w:proofErr w:type="gramStart"/>
      <w:r>
        <w:t>.р</w:t>
      </w:r>
      <w:proofErr w:type="gramEnd"/>
      <w:r>
        <w:t>уб</w:t>
      </w:r>
      <w:proofErr w:type="spellEnd"/>
      <w:r>
        <w:t xml:space="preserve">. (темп роста к аналогичному периоду 2011 года – 124,4%), что составляет уже более 80% от величины, прогнозируемой Администрацией на год. Кроме того, сальдированный финансовый результат по итогам 8 месяцев составил 26 949,2 </w:t>
      </w:r>
      <w:proofErr w:type="spellStart"/>
      <w:r>
        <w:t>млн</w:t>
      </w:r>
      <w:proofErr w:type="gramStart"/>
      <w:r>
        <w:t>.р</w:t>
      </w:r>
      <w:proofErr w:type="gramEnd"/>
      <w:r>
        <w:t>уб</w:t>
      </w:r>
      <w:proofErr w:type="spellEnd"/>
      <w:r>
        <w:t>. или 100% итогового значения 2011 года.</w:t>
      </w:r>
    </w:p>
    <w:p w:rsidR="00C83EEA" w:rsidRDefault="00C83EEA" w:rsidP="00C83EEA">
      <w:pPr>
        <w:spacing w:line="25" w:lineRule="atLeast"/>
        <w:ind w:firstLine="708"/>
        <w:jc w:val="both"/>
      </w:pPr>
      <w:r>
        <w:t>Одновременно, представленный Администрацией прогноз поступлений в консолидированный бюджет Томской области налога на прибыль организаций на 2012-2015 годы по видам экономической деятельности свидетельствует о структурной деформации относительных долей объемов поступлений налога. Так, прогноз относительно поступлений налога на прибыль организаций характеризуется сокращением доли поступлений нефтегазового сектора и операций с недвижимым имуществом и одновременным увеличением долей оптовой и розничной торговли, транспорта и связи (таблица 2).</w:t>
      </w:r>
    </w:p>
    <w:p w:rsidR="00C83EEA" w:rsidRDefault="00C83EEA" w:rsidP="00C83EEA">
      <w:pPr>
        <w:jc w:val="both"/>
      </w:pPr>
      <w:r>
        <w:t xml:space="preserve">                                                                                                                                          Таблица 2</w:t>
      </w:r>
    </w:p>
    <w:p w:rsidR="00C83EEA" w:rsidRPr="008E699A" w:rsidRDefault="00C83EEA" w:rsidP="00C83EEA">
      <w:pPr>
        <w:jc w:val="center"/>
        <w:rPr>
          <w:sz w:val="22"/>
          <w:szCs w:val="22"/>
        </w:rPr>
      </w:pPr>
      <w:r w:rsidRPr="008E699A">
        <w:rPr>
          <w:sz w:val="22"/>
          <w:szCs w:val="22"/>
        </w:rPr>
        <w:t>Относительные доли налоговых поступлений по видам экономической деятельности (по данным отчет</w:t>
      </w:r>
      <w:r>
        <w:rPr>
          <w:sz w:val="22"/>
          <w:szCs w:val="22"/>
        </w:rPr>
        <w:t>а</w:t>
      </w:r>
      <w:r w:rsidRPr="008E699A">
        <w:rPr>
          <w:sz w:val="22"/>
          <w:szCs w:val="22"/>
        </w:rPr>
        <w:t xml:space="preserve"> 1-НОМ за 2011 год и информации Администрации), %</w:t>
      </w:r>
    </w:p>
    <w:tbl>
      <w:tblPr>
        <w:tblStyle w:val="a6"/>
        <w:tblW w:w="9648" w:type="dxa"/>
        <w:tblLook w:val="01E0" w:firstRow="1" w:lastRow="1" w:firstColumn="1" w:lastColumn="1" w:noHBand="0" w:noVBand="0"/>
      </w:tblPr>
      <w:tblGrid>
        <w:gridCol w:w="4248"/>
        <w:gridCol w:w="1080"/>
        <w:gridCol w:w="1105"/>
        <w:gridCol w:w="1055"/>
        <w:gridCol w:w="1080"/>
        <w:gridCol w:w="1080"/>
      </w:tblGrid>
      <w:tr w:rsidR="00C83EEA" w:rsidRPr="00152764" w:rsidTr="009F24E6">
        <w:tc>
          <w:tcPr>
            <w:tcW w:w="4248" w:type="dxa"/>
          </w:tcPr>
          <w:p w:rsidR="00C83EEA" w:rsidRPr="00152764" w:rsidRDefault="00C83EEA" w:rsidP="009F24E6">
            <w:pPr>
              <w:jc w:val="both"/>
              <w:rPr>
                <w:sz w:val="20"/>
                <w:szCs w:val="20"/>
              </w:rPr>
            </w:pPr>
          </w:p>
        </w:tc>
        <w:tc>
          <w:tcPr>
            <w:tcW w:w="1080" w:type="dxa"/>
          </w:tcPr>
          <w:p w:rsidR="00C83EEA" w:rsidRPr="00152764" w:rsidRDefault="00C83EEA" w:rsidP="009F24E6">
            <w:pPr>
              <w:jc w:val="center"/>
              <w:rPr>
                <w:sz w:val="20"/>
                <w:szCs w:val="20"/>
              </w:rPr>
            </w:pPr>
            <w:r w:rsidRPr="00152764">
              <w:rPr>
                <w:sz w:val="20"/>
                <w:szCs w:val="20"/>
              </w:rPr>
              <w:t>2011</w:t>
            </w:r>
          </w:p>
        </w:tc>
        <w:tc>
          <w:tcPr>
            <w:tcW w:w="1105" w:type="dxa"/>
          </w:tcPr>
          <w:p w:rsidR="00C83EEA" w:rsidRPr="00152764" w:rsidRDefault="00C83EEA" w:rsidP="009F24E6">
            <w:pPr>
              <w:jc w:val="center"/>
              <w:rPr>
                <w:sz w:val="20"/>
                <w:szCs w:val="20"/>
              </w:rPr>
            </w:pPr>
            <w:r w:rsidRPr="00152764">
              <w:rPr>
                <w:sz w:val="20"/>
                <w:szCs w:val="20"/>
              </w:rPr>
              <w:t>2012 оценка</w:t>
            </w:r>
          </w:p>
        </w:tc>
        <w:tc>
          <w:tcPr>
            <w:tcW w:w="1055" w:type="dxa"/>
          </w:tcPr>
          <w:p w:rsidR="00C83EEA" w:rsidRPr="00152764" w:rsidRDefault="00C83EEA" w:rsidP="009F24E6">
            <w:pPr>
              <w:jc w:val="center"/>
              <w:rPr>
                <w:sz w:val="20"/>
                <w:szCs w:val="20"/>
              </w:rPr>
            </w:pPr>
            <w:r w:rsidRPr="00152764">
              <w:rPr>
                <w:sz w:val="20"/>
                <w:szCs w:val="20"/>
              </w:rPr>
              <w:t>2013</w:t>
            </w:r>
          </w:p>
        </w:tc>
        <w:tc>
          <w:tcPr>
            <w:tcW w:w="1080" w:type="dxa"/>
          </w:tcPr>
          <w:p w:rsidR="00C83EEA" w:rsidRPr="00152764" w:rsidRDefault="00C83EEA" w:rsidP="009F24E6">
            <w:pPr>
              <w:jc w:val="center"/>
              <w:rPr>
                <w:sz w:val="20"/>
                <w:szCs w:val="20"/>
              </w:rPr>
            </w:pPr>
            <w:r w:rsidRPr="00152764">
              <w:rPr>
                <w:sz w:val="20"/>
                <w:szCs w:val="20"/>
              </w:rPr>
              <w:t>2014</w:t>
            </w:r>
          </w:p>
        </w:tc>
        <w:tc>
          <w:tcPr>
            <w:tcW w:w="1080" w:type="dxa"/>
          </w:tcPr>
          <w:p w:rsidR="00C83EEA" w:rsidRPr="00152764" w:rsidRDefault="00C83EEA" w:rsidP="009F24E6">
            <w:pPr>
              <w:jc w:val="center"/>
              <w:rPr>
                <w:sz w:val="20"/>
                <w:szCs w:val="20"/>
              </w:rPr>
            </w:pPr>
            <w:r w:rsidRPr="00152764">
              <w:rPr>
                <w:sz w:val="20"/>
                <w:szCs w:val="20"/>
              </w:rPr>
              <w:t>2015</w:t>
            </w:r>
          </w:p>
        </w:tc>
      </w:tr>
      <w:tr w:rsidR="00C83EEA" w:rsidRPr="00152764" w:rsidTr="009F24E6">
        <w:tc>
          <w:tcPr>
            <w:tcW w:w="4248" w:type="dxa"/>
          </w:tcPr>
          <w:p w:rsidR="00C83EEA" w:rsidRPr="00152764" w:rsidRDefault="00C83EEA" w:rsidP="009F24E6">
            <w:pPr>
              <w:jc w:val="both"/>
              <w:rPr>
                <w:sz w:val="20"/>
                <w:szCs w:val="20"/>
              </w:rPr>
            </w:pPr>
            <w:r w:rsidRPr="00152764">
              <w:rPr>
                <w:sz w:val="20"/>
                <w:szCs w:val="20"/>
              </w:rPr>
              <w:t>сельское хозяйство, охота и лесное хозяйств</w:t>
            </w:r>
            <w:r>
              <w:rPr>
                <w:sz w:val="20"/>
                <w:szCs w:val="20"/>
              </w:rPr>
              <w:t>о</w:t>
            </w:r>
          </w:p>
        </w:tc>
        <w:tc>
          <w:tcPr>
            <w:tcW w:w="1080" w:type="dxa"/>
          </w:tcPr>
          <w:p w:rsidR="00C83EEA" w:rsidRPr="00152764" w:rsidRDefault="00C83EEA" w:rsidP="009F24E6">
            <w:pPr>
              <w:jc w:val="center"/>
              <w:rPr>
                <w:sz w:val="20"/>
                <w:szCs w:val="20"/>
              </w:rPr>
            </w:pPr>
            <w:r>
              <w:rPr>
                <w:sz w:val="20"/>
                <w:szCs w:val="20"/>
              </w:rPr>
              <w:t>0,1</w:t>
            </w:r>
          </w:p>
        </w:tc>
        <w:tc>
          <w:tcPr>
            <w:tcW w:w="1105" w:type="dxa"/>
          </w:tcPr>
          <w:p w:rsidR="00C83EEA" w:rsidRPr="00152764" w:rsidRDefault="00C83EEA" w:rsidP="009F24E6">
            <w:pPr>
              <w:jc w:val="center"/>
              <w:rPr>
                <w:sz w:val="20"/>
                <w:szCs w:val="20"/>
              </w:rPr>
            </w:pPr>
            <w:r>
              <w:rPr>
                <w:sz w:val="20"/>
                <w:szCs w:val="20"/>
              </w:rPr>
              <w:t>0,2</w:t>
            </w:r>
          </w:p>
        </w:tc>
        <w:tc>
          <w:tcPr>
            <w:tcW w:w="1055" w:type="dxa"/>
          </w:tcPr>
          <w:p w:rsidR="00C83EEA" w:rsidRDefault="00C83EEA" w:rsidP="009F24E6">
            <w:pPr>
              <w:jc w:val="center"/>
            </w:pPr>
            <w:r w:rsidRPr="00D82DE7">
              <w:rPr>
                <w:sz w:val="20"/>
                <w:szCs w:val="20"/>
              </w:rPr>
              <w:t>0,2</w:t>
            </w:r>
          </w:p>
        </w:tc>
        <w:tc>
          <w:tcPr>
            <w:tcW w:w="1080" w:type="dxa"/>
          </w:tcPr>
          <w:p w:rsidR="00C83EEA" w:rsidRDefault="00C83EEA" w:rsidP="009F24E6">
            <w:pPr>
              <w:jc w:val="center"/>
            </w:pPr>
            <w:r w:rsidRPr="00D82DE7">
              <w:rPr>
                <w:sz w:val="20"/>
                <w:szCs w:val="20"/>
              </w:rPr>
              <w:t>0,2</w:t>
            </w:r>
          </w:p>
        </w:tc>
        <w:tc>
          <w:tcPr>
            <w:tcW w:w="1080" w:type="dxa"/>
          </w:tcPr>
          <w:p w:rsidR="00C83EEA" w:rsidRDefault="00C83EEA" w:rsidP="009F24E6">
            <w:pPr>
              <w:jc w:val="center"/>
            </w:pPr>
            <w:r w:rsidRPr="00D82DE7">
              <w:rPr>
                <w:sz w:val="20"/>
                <w:szCs w:val="20"/>
              </w:rPr>
              <w:t>0,2</w:t>
            </w:r>
          </w:p>
        </w:tc>
      </w:tr>
      <w:tr w:rsidR="00C83EEA" w:rsidRPr="00152764" w:rsidTr="009F24E6">
        <w:tc>
          <w:tcPr>
            <w:tcW w:w="4248" w:type="dxa"/>
          </w:tcPr>
          <w:p w:rsidR="00C83EEA" w:rsidRPr="00152764" w:rsidRDefault="00C83EEA" w:rsidP="009F24E6">
            <w:pPr>
              <w:jc w:val="both"/>
              <w:rPr>
                <w:sz w:val="20"/>
                <w:szCs w:val="20"/>
              </w:rPr>
            </w:pPr>
            <w:r w:rsidRPr="00152764">
              <w:rPr>
                <w:sz w:val="20"/>
                <w:szCs w:val="20"/>
              </w:rPr>
              <w:t xml:space="preserve">добыча полезных </w:t>
            </w:r>
            <w:r w:rsidRPr="006C7EB2">
              <w:rPr>
                <w:sz w:val="20"/>
                <w:szCs w:val="20"/>
              </w:rPr>
              <w:t>ископаемых (</w:t>
            </w:r>
            <w:proofErr w:type="gramStart"/>
            <w:r w:rsidRPr="006C7EB2">
              <w:rPr>
                <w:sz w:val="20"/>
                <w:szCs w:val="20"/>
              </w:rPr>
              <w:t>без</w:t>
            </w:r>
            <w:proofErr w:type="gramEnd"/>
            <w:r w:rsidRPr="006C7EB2">
              <w:rPr>
                <w:sz w:val="20"/>
                <w:szCs w:val="20"/>
              </w:rPr>
              <w:t xml:space="preserve"> разовых)</w:t>
            </w:r>
          </w:p>
        </w:tc>
        <w:tc>
          <w:tcPr>
            <w:tcW w:w="1080" w:type="dxa"/>
          </w:tcPr>
          <w:p w:rsidR="00C83EEA" w:rsidRPr="00152764" w:rsidRDefault="00C83EEA" w:rsidP="009F24E6">
            <w:pPr>
              <w:jc w:val="center"/>
              <w:rPr>
                <w:sz w:val="20"/>
                <w:szCs w:val="20"/>
              </w:rPr>
            </w:pPr>
            <w:r>
              <w:rPr>
                <w:sz w:val="20"/>
                <w:szCs w:val="20"/>
              </w:rPr>
              <w:t>33,7</w:t>
            </w:r>
          </w:p>
        </w:tc>
        <w:tc>
          <w:tcPr>
            <w:tcW w:w="1105" w:type="dxa"/>
          </w:tcPr>
          <w:p w:rsidR="00C83EEA" w:rsidRPr="00152764" w:rsidRDefault="00C83EEA" w:rsidP="009F24E6">
            <w:pPr>
              <w:jc w:val="center"/>
              <w:rPr>
                <w:sz w:val="20"/>
                <w:szCs w:val="20"/>
              </w:rPr>
            </w:pPr>
            <w:r>
              <w:rPr>
                <w:sz w:val="20"/>
                <w:szCs w:val="20"/>
              </w:rPr>
              <w:t>24,5</w:t>
            </w:r>
          </w:p>
        </w:tc>
        <w:tc>
          <w:tcPr>
            <w:tcW w:w="1055" w:type="dxa"/>
          </w:tcPr>
          <w:p w:rsidR="00C83EEA" w:rsidRPr="00152764" w:rsidRDefault="00C83EEA" w:rsidP="009F24E6">
            <w:pPr>
              <w:jc w:val="center"/>
              <w:rPr>
                <w:sz w:val="20"/>
                <w:szCs w:val="20"/>
              </w:rPr>
            </w:pPr>
            <w:r>
              <w:rPr>
                <w:sz w:val="20"/>
                <w:szCs w:val="20"/>
              </w:rPr>
              <w:t>25,0</w:t>
            </w:r>
          </w:p>
        </w:tc>
        <w:tc>
          <w:tcPr>
            <w:tcW w:w="1080" w:type="dxa"/>
          </w:tcPr>
          <w:p w:rsidR="00C83EEA" w:rsidRPr="00152764" w:rsidRDefault="00C83EEA" w:rsidP="009F24E6">
            <w:pPr>
              <w:jc w:val="center"/>
              <w:rPr>
                <w:sz w:val="20"/>
                <w:szCs w:val="20"/>
              </w:rPr>
            </w:pPr>
            <w:r>
              <w:rPr>
                <w:sz w:val="20"/>
                <w:szCs w:val="20"/>
              </w:rPr>
              <w:t>25,8</w:t>
            </w:r>
          </w:p>
        </w:tc>
        <w:tc>
          <w:tcPr>
            <w:tcW w:w="1080" w:type="dxa"/>
          </w:tcPr>
          <w:p w:rsidR="00C83EEA" w:rsidRPr="00152764" w:rsidRDefault="00C83EEA" w:rsidP="009F24E6">
            <w:pPr>
              <w:jc w:val="center"/>
              <w:rPr>
                <w:sz w:val="20"/>
                <w:szCs w:val="20"/>
              </w:rPr>
            </w:pPr>
            <w:r>
              <w:rPr>
                <w:sz w:val="20"/>
                <w:szCs w:val="20"/>
              </w:rPr>
              <w:t>25,8</w:t>
            </w:r>
          </w:p>
        </w:tc>
      </w:tr>
      <w:tr w:rsidR="00C83EEA" w:rsidRPr="00152764" w:rsidTr="009F24E6">
        <w:tc>
          <w:tcPr>
            <w:tcW w:w="4248" w:type="dxa"/>
          </w:tcPr>
          <w:p w:rsidR="00C83EEA" w:rsidRPr="00152764" w:rsidRDefault="00C83EEA" w:rsidP="009F24E6">
            <w:pPr>
              <w:jc w:val="both"/>
              <w:rPr>
                <w:sz w:val="20"/>
                <w:szCs w:val="20"/>
              </w:rPr>
            </w:pPr>
            <w:r w:rsidRPr="00152764">
              <w:rPr>
                <w:sz w:val="20"/>
                <w:szCs w:val="20"/>
              </w:rPr>
              <w:t>обрабатывающие производства</w:t>
            </w:r>
          </w:p>
        </w:tc>
        <w:tc>
          <w:tcPr>
            <w:tcW w:w="1080" w:type="dxa"/>
          </w:tcPr>
          <w:p w:rsidR="00C83EEA" w:rsidRPr="00152764" w:rsidRDefault="00C83EEA" w:rsidP="009F24E6">
            <w:pPr>
              <w:jc w:val="center"/>
              <w:rPr>
                <w:sz w:val="20"/>
                <w:szCs w:val="20"/>
              </w:rPr>
            </w:pPr>
            <w:r>
              <w:rPr>
                <w:sz w:val="20"/>
                <w:szCs w:val="20"/>
              </w:rPr>
              <w:t>13,2</w:t>
            </w:r>
          </w:p>
        </w:tc>
        <w:tc>
          <w:tcPr>
            <w:tcW w:w="1105" w:type="dxa"/>
          </w:tcPr>
          <w:p w:rsidR="00C83EEA" w:rsidRPr="00152764" w:rsidRDefault="00C83EEA" w:rsidP="009F24E6">
            <w:pPr>
              <w:jc w:val="center"/>
              <w:rPr>
                <w:sz w:val="20"/>
                <w:szCs w:val="20"/>
              </w:rPr>
            </w:pPr>
            <w:r>
              <w:rPr>
                <w:sz w:val="20"/>
                <w:szCs w:val="20"/>
              </w:rPr>
              <w:t>10,4</w:t>
            </w:r>
          </w:p>
        </w:tc>
        <w:tc>
          <w:tcPr>
            <w:tcW w:w="1055" w:type="dxa"/>
          </w:tcPr>
          <w:p w:rsidR="00C83EEA" w:rsidRPr="00152764" w:rsidRDefault="00C83EEA" w:rsidP="009F24E6">
            <w:pPr>
              <w:jc w:val="center"/>
              <w:rPr>
                <w:sz w:val="20"/>
                <w:szCs w:val="20"/>
              </w:rPr>
            </w:pPr>
            <w:r>
              <w:rPr>
                <w:sz w:val="20"/>
                <w:szCs w:val="20"/>
              </w:rPr>
              <w:t>9,9</w:t>
            </w:r>
          </w:p>
        </w:tc>
        <w:tc>
          <w:tcPr>
            <w:tcW w:w="1080" w:type="dxa"/>
          </w:tcPr>
          <w:p w:rsidR="00C83EEA" w:rsidRPr="00152764" w:rsidRDefault="00C83EEA" w:rsidP="009F24E6">
            <w:pPr>
              <w:jc w:val="center"/>
              <w:rPr>
                <w:sz w:val="20"/>
                <w:szCs w:val="20"/>
              </w:rPr>
            </w:pPr>
            <w:r>
              <w:rPr>
                <w:sz w:val="20"/>
                <w:szCs w:val="20"/>
              </w:rPr>
              <w:t>10,2</w:t>
            </w:r>
          </w:p>
        </w:tc>
        <w:tc>
          <w:tcPr>
            <w:tcW w:w="1080" w:type="dxa"/>
          </w:tcPr>
          <w:p w:rsidR="00C83EEA" w:rsidRPr="00152764" w:rsidRDefault="00C83EEA" w:rsidP="009F24E6">
            <w:pPr>
              <w:jc w:val="center"/>
              <w:rPr>
                <w:sz w:val="20"/>
                <w:szCs w:val="20"/>
              </w:rPr>
            </w:pPr>
            <w:r>
              <w:rPr>
                <w:sz w:val="20"/>
                <w:szCs w:val="20"/>
              </w:rPr>
              <w:t>11,3</w:t>
            </w:r>
          </w:p>
        </w:tc>
      </w:tr>
      <w:tr w:rsidR="00C83EEA" w:rsidRPr="00152764" w:rsidTr="009F24E6">
        <w:tc>
          <w:tcPr>
            <w:tcW w:w="4248" w:type="dxa"/>
          </w:tcPr>
          <w:p w:rsidR="00C83EEA" w:rsidRPr="00152764" w:rsidRDefault="00C83EEA" w:rsidP="009F24E6">
            <w:pPr>
              <w:jc w:val="both"/>
              <w:rPr>
                <w:sz w:val="20"/>
                <w:szCs w:val="20"/>
              </w:rPr>
            </w:pPr>
            <w:r w:rsidRPr="00152764">
              <w:rPr>
                <w:sz w:val="20"/>
                <w:szCs w:val="20"/>
              </w:rPr>
              <w:t>строительство</w:t>
            </w:r>
          </w:p>
        </w:tc>
        <w:tc>
          <w:tcPr>
            <w:tcW w:w="1080" w:type="dxa"/>
          </w:tcPr>
          <w:p w:rsidR="00C83EEA" w:rsidRPr="00152764" w:rsidRDefault="00C83EEA" w:rsidP="009F24E6">
            <w:pPr>
              <w:jc w:val="center"/>
              <w:rPr>
                <w:sz w:val="20"/>
                <w:szCs w:val="20"/>
              </w:rPr>
            </w:pPr>
            <w:r>
              <w:rPr>
                <w:sz w:val="20"/>
                <w:szCs w:val="20"/>
              </w:rPr>
              <w:t>2,3</w:t>
            </w:r>
          </w:p>
        </w:tc>
        <w:tc>
          <w:tcPr>
            <w:tcW w:w="1105" w:type="dxa"/>
          </w:tcPr>
          <w:p w:rsidR="00C83EEA" w:rsidRPr="00152764" w:rsidRDefault="00C83EEA" w:rsidP="009F24E6">
            <w:pPr>
              <w:jc w:val="center"/>
              <w:rPr>
                <w:sz w:val="20"/>
                <w:szCs w:val="20"/>
              </w:rPr>
            </w:pPr>
            <w:r>
              <w:rPr>
                <w:sz w:val="20"/>
                <w:szCs w:val="20"/>
              </w:rPr>
              <w:t>2,7</w:t>
            </w:r>
          </w:p>
        </w:tc>
        <w:tc>
          <w:tcPr>
            <w:tcW w:w="1055" w:type="dxa"/>
          </w:tcPr>
          <w:p w:rsidR="00C83EEA" w:rsidRPr="00152764" w:rsidRDefault="00C83EEA" w:rsidP="009F24E6">
            <w:pPr>
              <w:jc w:val="center"/>
              <w:rPr>
                <w:sz w:val="20"/>
                <w:szCs w:val="20"/>
              </w:rPr>
            </w:pPr>
            <w:r>
              <w:rPr>
                <w:sz w:val="20"/>
                <w:szCs w:val="20"/>
              </w:rPr>
              <w:t>2,5</w:t>
            </w:r>
          </w:p>
        </w:tc>
        <w:tc>
          <w:tcPr>
            <w:tcW w:w="1080" w:type="dxa"/>
          </w:tcPr>
          <w:p w:rsidR="00C83EEA" w:rsidRPr="00152764" w:rsidRDefault="00C83EEA" w:rsidP="009F24E6">
            <w:pPr>
              <w:jc w:val="center"/>
              <w:rPr>
                <w:sz w:val="20"/>
                <w:szCs w:val="20"/>
              </w:rPr>
            </w:pPr>
            <w:r>
              <w:rPr>
                <w:sz w:val="20"/>
                <w:szCs w:val="20"/>
              </w:rPr>
              <w:t>2,7</w:t>
            </w:r>
          </w:p>
        </w:tc>
        <w:tc>
          <w:tcPr>
            <w:tcW w:w="1080" w:type="dxa"/>
          </w:tcPr>
          <w:p w:rsidR="00C83EEA" w:rsidRPr="00152764" w:rsidRDefault="00C83EEA" w:rsidP="009F24E6">
            <w:pPr>
              <w:jc w:val="center"/>
              <w:rPr>
                <w:sz w:val="20"/>
                <w:szCs w:val="20"/>
              </w:rPr>
            </w:pPr>
            <w:r>
              <w:rPr>
                <w:sz w:val="20"/>
                <w:szCs w:val="20"/>
              </w:rPr>
              <w:t>2,7</w:t>
            </w:r>
          </w:p>
        </w:tc>
      </w:tr>
      <w:tr w:rsidR="00C83EEA" w:rsidRPr="00152764" w:rsidTr="009F24E6">
        <w:tc>
          <w:tcPr>
            <w:tcW w:w="4248" w:type="dxa"/>
          </w:tcPr>
          <w:p w:rsidR="00C83EEA" w:rsidRPr="00152764" w:rsidRDefault="00C83EEA" w:rsidP="009F24E6">
            <w:pPr>
              <w:rPr>
                <w:sz w:val="20"/>
                <w:szCs w:val="20"/>
              </w:rPr>
            </w:pPr>
            <w:r w:rsidRPr="00152764">
              <w:rPr>
                <w:sz w:val="20"/>
                <w:szCs w:val="20"/>
              </w:rPr>
              <w:t>оптовая и розничная торговля; ремонт автотрансп</w:t>
            </w:r>
            <w:r>
              <w:rPr>
                <w:sz w:val="20"/>
                <w:szCs w:val="20"/>
              </w:rPr>
              <w:t>ортных</w:t>
            </w:r>
            <w:r w:rsidRPr="00152764">
              <w:rPr>
                <w:sz w:val="20"/>
                <w:szCs w:val="20"/>
              </w:rPr>
              <w:t xml:space="preserve"> средств, мотоциклов, бытовых изделий и предметов личного пользования</w:t>
            </w:r>
          </w:p>
        </w:tc>
        <w:tc>
          <w:tcPr>
            <w:tcW w:w="1080" w:type="dxa"/>
          </w:tcPr>
          <w:p w:rsidR="00C83EEA" w:rsidRPr="00152764" w:rsidRDefault="00C83EEA" w:rsidP="009F24E6">
            <w:pPr>
              <w:jc w:val="center"/>
              <w:rPr>
                <w:sz w:val="20"/>
                <w:szCs w:val="20"/>
              </w:rPr>
            </w:pPr>
            <w:r>
              <w:rPr>
                <w:sz w:val="20"/>
                <w:szCs w:val="20"/>
              </w:rPr>
              <w:t>7,1</w:t>
            </w:r>
          </w:p>
        </w:tc>
        <w:tc>
          <w:tcPr>
            <w:tcW w:w="1105" w:type="dxa"/>
          </w:tcPr>
          <w:p w:rsidR="00C83EEA" w:rsidRPr="00152764" w:rsidRDefault="00C83EEA" w:rsidP="009F24E6">
            <w:pPr>
              <w:jc w:val="center"/>
              <w:rPr>
                <w:sz w:val="20"/>
                <w:szCs w:val="20"/>
              </w:rPr>
            </w:pPr>
            <w:r>
              <w:rPr>
                <w:sz w:val="20"/>
                <w:szCs w:val="20"/>
              </w:rPr>
              <w:t>27,9</w:t>
            </w:r>
          </w:p>
        </w:tc>
        <w:tc>
          <w:tcPr>
            <w:tcW w:w="1055" w:type="dxa"/>
          </w:tcPr>
          <w:p w:rsidR="00C83EEA" w:rsidRPr="00152764" w:rsidRDefault="00C83EEA" w:rsidP="009F24E6">
            <w:pPr>
              <w:jc w:val="center"/>
              <w:rPr>
                <w:sz w:val="20"/>
                <w:szCs w:val="20"/>
              </w:rPr>
            </w:pPr>
            <w:r>
              <w:rPr>
                <w:sz w:val="20"/>
                <w:szCs w:val="20"/>
              </w:rPr>
              <w:t>28,3</w:t>
            </w:r>
          </w:p>
        </w:tc>
        <w:tc>
          <w:tcPr>
            <w:tcW w:w="1080" w:type="dxa"/>
          </w:tcPr>
          <w:p w:rsidR="00C83EEA" w:rsidRPr="00152764" w:rsidRDefault="00C83EEA" w:rsidP="009F24E6">
            <w:pPr>
              <w:jc w:val="center"/>
              <w:rPr>
                <w:sz w:val="20"/>
                <w:szCs w:val="20"/>
              </w:rPr>
            </w:pPr>
            <w:r>
              <w:rPr>
                <w:sz w:val="20"/>
                <w:szCs w:val="20"/>
              </w:rPr>
              <w:t>27,0</w:t>
            </w:r>
          </w:p>
        </w:tc>
        <w:tc>
          <w:tcPr>
            <w:tcW w:w="1080" w:type="dxa"/>
          </w:tcPr>
          <w:p w:rsidR="00C83EEA" w:rsidRPr="00152764" w:rsidRDefault="00C83EEA" w:rsidP="009F24E6">
            <w:pPr>
              <w:jc w:val="center"/>
              <w:rPr>
                <w:sz w:val="20"/>
                <w:szCs w:val="20"/>
              </w:rPr>
            </w:pPr>
            <w:r>
              <w:rPr>
                <w:sz w:val="20"/>
                <w:szCs w:val="20"/>
              </w:rPr>
              <w:t>27,0</w:t>
            </w:r>
          </w:p>
        </w:tc>
      </w:tr>
      <w:tr w:rsidR="00C83EEA" w:rsidRPr="00152764" w:rsidTr="009F24E6">
        <w:tc>
          <w:tcPr>
            <w:tcW w:w="4248" w:type="dxa"/>
          </w:tcPr>
          <w:p w:rsidR="00C83EEA" w:rsidRPr="00152764" w:rsidRDefault="00C83EEA" w:rsidP="009F24E6">
            <w:pPr>
              <w:jc w:val="both"/>
              <w:rPr>
                <w:sz w:val="20"/>
                <w:szCs w:val="20"/>
              </w:rPr>
            </w:pPr>
            <w:r w:rsidRPr="00152764">
              <w:rPr>
                <w:sz w:val="20"/>
                <w:szCs w:val="20"/>
              </w:rPr>
              <w:t>транспорт и связь</w:t>
            </w:r>
          </w:p>
        </w:tc>
        <w:tc>
          <w:tcPr>
            <w:tcW w:w="1080" w:type="dxa"/>
          </w:tcPr>
          <w:p w:rsidR="00C83EEA" w:rsidRPr="00152764" w:rsidRDefault="00C83EEA" w:rsidP="009F24E6">
            <w:pPr>
              <w:jc w:val="center"/>
              <w:rPr>
                <w:sz w:val="20"/>
                <w:szCs w:val="20"/>
              </w:rPr>
            </w:pPr>
            <w:r>
              <w:rPr>
                <w:sz w:val="20"/>
                <w:szCs w:val="20"/>
              </w:rPr>
              <w:t>12,6</w:t>
            </w:r>
          </w:p>
        </w:tc>
        <w:tc>
          <w:tcPr>
            <w:tcW w:w="1105" w:type="dxa"/>
          </w:tcPr>
          <w:p w:rsidR="00C83EEA" w:rsidRPr="00152764" w:rsidRDefault="00C83EEA" w:rsidP="009F24E6">
            <w:pPr>
              <w:jc w:val="center"/>
              <w:rPr>
                <w:sz w:val="20"/>
                <w:szCs w:val="20"/>
              </w:rPr>
            </w:pPr>
            <w:r>
              <w:rPr>
                <w:sz w:val="20"/>
                <w:szCs w:val="20"/>
              </w:rPr>
              <w:t>19,6</w:t>
            </w:r>
          </w:p>
        </w:tc>
        <w:tc>
          <w:tcPr>
            <w:tcW w:w="1055" w:type="dxa"/>
          </w:tcPr>
          <w:p w:rsidR="00C83EEA" w:rsidRPr="00152764" w:rsidRDefault="00C83EEA" w:rsidP="009F24E6">
            <w:pPr>
              <w:jc w:val="center"/>
              <w:rPr>
                <w:sz w:val="20"/>
                <w:szCs w:val="20"/>
              </w:rPr>
            </w:pPr>
            <w:r>
              <w:rPr>
                <w:sz w:val="20"/>
                <w:szCs w:val="20"/>
              </w:rPr>
              <w:t>20,6</w:t>
            </w:r>
          </w:p>
        </w:tc>
        <w:tc>
          <w:tcPr>
            <w:tcW w:w="1080" w:type="dxa"/>
          </w:tcPr>
          <w:p w:rsidR="00C83EEA" w:rsidRPr="00152764" w:rsidRDefault="00C83EEA" w:rsidP="009F24E6">
            <w:pPr>
              <w:jc w:val="center"/>
              <w:rPr>
                <w:sz w:val="20"/>
                <w:szCs w:val="20"/>
              </w:rPr>
            </w:pPr>
            <w:r>
              <w:rPr>
                <w:sz w:val="20"/>
                <w:szCs w:val="20"/>
              </w:rPr>
              <w:t>20,4</w:t>
            </w:r>
          </w:p>
        </w:tc>
        <w:tc>
          <w:tcPr>
            <w:tcW w:w="1080" w:type="dxa"/>
          </w:tcPr>
          <w:p w:rsidR="00C83EEA" w:rsidRPr="00152764" w:rsidRDefault="00C83EEA" w:rsidP="009F24E6">
            <w:pPr>
              <w:jc w:val="center"/>
              <w:rPr>
                <w:sz w:val="20"/>
                <w:szCs w:val="20"/>
              </w:rPr>
            </w:pPr>
            <w:r>
              <w:rPr>
                <w:sz w:val="20"/>
                <w:szCs w:val="20"/>
              </w:rPr>
              <w:t>20,2</w:t>
            </w:r>
          </w:p>
        </w:tc>
      </w:tr>
      <w:tr w:rsidR="00C83EEA" w:rsidRPr="00152764" w:rsidTr="009F24E6">
        <w:tc>
          <w:tcPr>
            <w:tcW w:w="4248" w:type="dxa"/>
          </w:tcPr>
          <w:p w:rsidR="00C83EEA" w:rsidRPr="00152764" w:rsidRDefault="00C83EEA" w:rsidP="009F24E6">
            <w:pPr>
              <w:jc w:val="both"/>
              <w:rPr>
                <w:sz w:val="20"/>
                <w:szCs w:val="20"/>
              </w:rPr>
            </w:pPr>
            <w:r w:rsidRPr="00152764">
              <w:rPr>
                <w:sz w:val="20"/>
                <w:szCs w:val="20"/>
              </w:rPr>
              <w:t>финансовая деятельность</w:t>
            </w:r>
          </w:p>
        </w:tc>
        <w:tc>
          <w:tcPr>
            <w:tcW w:w="1080" w:type="dxa"/>
          </w:tcPr>
          <w:p w:rsidR="00C83EEA" w:rsidRPr="00152764" w:rsidRDefault="00C83EEA" w:rsidP="009F24E6">
            <w:pPr>
              <w:jc w:val="center"/>
              <w:rPr>
                <w:sz w:val="20"/>
                <w:szCs w:val="20"/>
              </w:rPr>
            </w:pPr>
            <w:r>
              <w:rPr>
                <w:sz w:val="20"/>
                <w:szCs w:val="20"/>
              </w:rPr>
              <w:t>9,8</w:t>
            </w:r>
          </w:p>
        </w:tc>
        <w:tc>
          <w:tcPr>
            <w:tcW w:w="1105" w:type="dxa"/>
          </w:tcPr>
          <w:p w:rsidR="00C83EEA" w:rsidRPr="00152764" w:rsidRDefault="00C83EEA" w:rsidP="009F24E6">
            <w:pPr>
              <w:jc w:val="center"/>
              <w:rPr>
                <w:sz w:val="20"/>
                <w:szCs w:val="20"/>
              </w:rPr>
            </w:pPr>
            <w:r>
              <w:rPr>
                <w:sz w:val="20"/>
                <w:szCs w:val="20"/>
              </w:rPr>
              <w:t>9,6</w:t>
            </w:r>
          </w:p>
        </w:tc>
        <w:tc>
          <w:tcPr>
            <w:tcW w:w="1055" w:type="dxa"/>
          </w:tcPr>
          <w:p w:rsidR="00C83EEA" w:rsidRPr="00152764" w:rsidRDefault="00C83EEA" w:rsidP="009F24E6">
            <w:pPr>
              <w:jc w:val="center"/>
              <w:rPr>
                <w:sz w:val="20"/>
                <w:szCs w:val="20"/>
              </w:rPr>
            </w:pPr>
            <w:r>
              <w:rPr>
                <w:sz w:val="20"/>
                <w:szCs w:val="20"/>
              </w:rPr>
              <w:t>8,7</w:t>
            </w:r>
          </w:p>
        </w:tc>
        <w:tc>
          <w:tcPr>
            <w:tcW w:w="1080" w:type="dxa"/>
          </w:tcPr>
          <w:p w:rsidR="00C83EEA" w:rsidRPr="00152764" w:rsidRDefault="00C83EEA" w:rsidP="009F24E6">
            <w:pPr>
              <w:jc w:val="center"/>
              <w:rPr>
                <w:sz w:val="20"/>
                <w:szCs w:val="20"/>
              </w:rPr>
            </w:pPr>
            <w:r>
              <w:rPr>
                <w:sz w:val="20"/>
                <w:szCs w:val="20"/>
              </w:rPr>
              <w:t>8,7</w:t>
            </w:r>
          </w:p>
        </w:tc>
        <w:tc>
          <w:tcPr>
            <w:tcW w:w="1080" w:type="dxa"/>
          </w:tcPr>
          <w:p w:rsidR="00C83EEA" w:rsidRPr="00152764" w:rsidRDefault="00C83EEA" w:rsidP="009F24E6">
            <w:pPr>
              <w:jc w:val="center"/>
              <w:rPr>
                <w:sz w:val="20"/>
                <w:szCs w:val="20"/>
              </w:rPr>
            </w:pPr>
            <w:r>
              <w:rPr>
                <w:sz w:val="20"/>
                <w:szCs w:val="20"/>
              </w:rPr>
              <w:t>7,8</w:t>
            </w:r>
          </w:p>
        </w:tc>
      </w:tr>
      <w:tr w:rsidR="00C83EEA" w:rsidRPr="00152764" w:rsidTr="009F24E6">
        <w:tc>
          <w:tcPr>
            <w:tcW w:w="4248" w:type="dxa"/>
          </w:tcPr>
          <w:p w:rsidR="00C83EEA" w:rsidRPr="00152764" w:rsidRDefault="00C83EEA" w:rsidP="009F24E6">
            <w:pPr>
              <w:jc w:val="both"/>
              <w:rPr>
                <w:sz w:val="20"/>
                <w:szCs w:val="20"/>
              </w:rPr>
            </w:pPr>
            <w:r w:rsidRPr="00152764">
              <w:rPr>
                <w:sz w:val="20"/>
                <w:szCs w:val="20"/>
              </w:rPr>
              <w:t>операции с недвижимым имуществом, аренда и предоставление услуг</w:t>
            </w:r>
          </w:p>
        </w:tc>
        <w:tc>
          <w:tcPr>
            <w:tcW w:w="1080" w:type="dxa"/>
          </w:tcPr>
          <w:p w:rsidR="00C83EEA" w:rsidRPr="00152764" w:rsidRDefault="00C83EEA" w:rsidP="009F24E6">
            <w:pPr>
              <w:jc w:val="center"/>
              <w:rPr>
                <w:sz w:val="20"/>
                <w:szCs w:val="20"/>
              </w:rPr>
            </w:pPr>
            <w:r>
              <w:rPr>
                <w:sz w:val="20"/>
                <w:szCs w:val="20"/>
              </w:rPr>
              <w:t>14,6</w:t>
            </w:r>
          </w:p>
        </w:tc>
        <w:tc>
          <w:tcPr>
            <w:tcW w:w="1105" w:type="dxa"/>
          </w:tcPr>
          <w:p w:rsidR="00C83EEA" w:rsidRPr="00152764" w:rsidRDefault="00C83EEA" w:rsidP="009F24E6">
            <w:pPr>
              <w:jc w:val="center"/>
              <w:rPr>
                <w:sz w:val="20"/>
                <w:szCs w:val="20"/>
              </w:rPr>
            </w:pPr>
            <w:r>
              <w:rPr>
                <w:sz w:val="20"/>
                <w:szCs w:val="20"/>
              </w:rPr>
              <w:t>1,1</w:t>
            </w:r>
          </w:p>
        </w:tc>
        <w:tc>
          <w:tcPr>
            <w:tcW w:w="1055" w:type="dxa"/>
          </w:tcPr>
          <w:p w:rsidR="00C83EEA" w:rsidRPr="00152764" w:rsidRDefault="00C83EEA" w:rsidP="009F24E6">
            <w:pPr>
              <w:jc w:val="center"/>
              <w:rPr>
                <w:sz w:val="20"/>
                <w:szCs w:val="20"/>
              </w:rPr>
            </w:pPr>
            <w:r>
              <w:rPr>
                <w:sz w:val="20"/>
                <w:szCs w:val="20"/>
              </w:rPr>
              <w:t>1,0</w:t>
            </w:r>
          </w:p>
        </w:tc>
        <w:tc>
          <w:tcPr>
            <w:tcW w:w="1080" w:type="dxa"/>
          </w:tcPr>
          <w:p w:rsidR="00C83EEA" w:rsidRPr="00152764" w:rsidRDefault="00C83EEA" w:rsidP="009F24E6">
            <w:pPr>
              <w:jc w:val="center"/>
              <w:rPr>
                <w:sz w:val="20"/>
                <w:szCs w:val="20"/>
              </w:rPr>
            </w:pPr>
            <w:r>
              <w:rPr>
                <w:sz w:val="20"/>
                <w:szCs w:val="20"/>
              </w:rPr>
              <w:t>1,1</w:t>
            </w:r>
          </w:p>
        </w:tc>
        <w:tc>
          <w:tcPr>
            <w:tcW w:w="1080" w:type="dxa"/>
          </w:tcPr>
          <w:p w:rsidR="00C83EEA" w:rsidRPr="00152764" w:rsidRDefault="00C83EEA" w:rsidP="009F24E6">
            <w:pPr>
              <w:jc w:val="center"/>
              <w:rPr>
                <w:sz w:val="20"/>
                <w:szCs w:val="20"/>
              </w:rPr>
            </w:pPr>
            <w:r>
              <w:rPr>
                <w:sz w:val="20"/>
                <w:szCs w:val="20"/>
              </w:rPr>
              <w:t>1,0</w:t>
            </w:r>
          </w:p>
        </w:tc>
      </w:tr>
      <w:tr w:rsidR="00C83EEA" w:rsidRPr="00152764" w:rsidTr="009F24E6">
        <w:tc>
          <w:tcPr>
            <w:tcW w:w="4248" w:type="dxa"/>
          </w:tcPr>
          <w:p w:rsidR="00C83EEA" w:rsidRPr="00152764" w:rsidRDefault="00C83EEA" w:rsidP="009F24E6">
            <w:pPr>
              <w:jc w:val="both"/>
              <w:rPr>
                <w:sz w:val="20"/>
                <w:szCs w:val="20"/>
              </w:rPr>
            </w:pPr>
            <w:r w:rsidRPr="00152764">
              <w:rPr>
                <w:sz w:val="20"/>
                <w:szCs w:val="20"/>
              </w:rPr>
              <w:t>остальные виды экономической деятельности</w:t>
            </w:r>
          </w:p>
        </w:tc>
        <w:tc>
          <w:tcPr>
            <w:tcW w:w="1080" w:type="dxa"/>
          </w:tcPr>
          <w:p w:rsidR="00C83EEA" w:rsidRPr="00152764" w:rsidRDefault="00C83EEA" w:rsidP="009F24E6">
            <w:pPr>
              <w:jc w:val="center"/>
              <w:rPr>
                <w:sz w:val="20"/>
                <w:szCs w:val="20"/>
              </w:rPr>
            </w:pPr>
            <w:r>
              <w:rPr>
                <w:sz w:val="20"/>
                <w:szCs w:val="20"/>
              </w:rPr>
              <w:t>6,5</w:t>
            </w:r>
          </w:p>
        </w:tc>
        <w:tc>
          <w:tcPr>
            <w:tcW w:w="1105" w:type="dxa"/>
          </w:tcPr>
          <w:p w:rsidR="00C83EEA" w:rsidRPr="00152764" w:rsidRDefault="00C83EEA" w:rsidP="009F24E6">
            <w:pPr>
              <w:jc w:val="center"/>
              <w:rPr>
                <w:sz w:val="20"/>
                <w:szCs w:val="20"/>
              </w:rPr>
            </w:pPr>
            <w:r>
              <w:rPr>
                <w:sz w:val="20"/>
                <w:szCs w:val="20"/>
              </w:rPr>
              <w:t>4,0</w:t>
            </w:r>
          </w:p>
        </w:tc>
        <w:tc>
          <w:tcPr>
            <w:tcW w:w="1055" w:type="dxa"/>
          </w:tcPr>
          <w:p w:rsidR="00C83EEA" w:rsidRPr="00152764" w:rsidRDefault="00C83EEA" w:rsidP="009F24E6">
            <w:pPr>
              <w:jc w:val="center"/>
              <w:rPr>
                <w:sz w:val="20"/>
                <w:szCs w:val="20"/>
              </w:rPr>
            </w:pPr>
            <w:r>
              <w:rPr>
                <w:sz w:val="20"/>
                <w:szCs w:val="20"/>
              </w:rPr>
              <w:t>3,8</w:t>
            </w:r>
          </w:p>
        </w:tc>
        <w:tc>
          <w:tcPr>
            <w:tcW w:w="1080" w:type="dxa"/>
          </w:tcPr>
          <w:p w:rsidR="00C83EEA" w:rsidRPr="00152764" w:rsidRDefault="00C83EEA" w:rsidP="009F24E6">
            <w:pPr>
              <w:jc w:val="center"/>
              <w:rPr>
                <w:sz w:val="20"/>
                <w:szCs w:val="20"/>
              </w:rPr>
            </w:pPr>
            <w:r>
              <w:rPr>
                <w:sz w:val="20"/>
                <w:szCs w:val="20"/>
              </w:rPr>
              <w:t>4,0</w:t>
            </w:r>
          </w:p>
        </w:tc>
        <w:tc>
          <w:tcPr>
            <w:tcW w:w="1080" w:type="dxa"/>
          </w:tcPr>
          <w:p w:rsidR="00C83EEA" w:rsidRPr="00152764" w:rsidRDefault="00C83EEA" w:rsidP="009F24E6">
            <w:pPr>
              <w:jc w:val="center"/>
              <w:rPr>
                <w:sz w:val="20"/>
                <w:szCs w:val="20"/>
              </w:rPr>
            </w:pPr>
            <w:r>
              <w:rPr>
                <w:sz w:val="20"/>
                <w:szCs w:val="20"/>
              </w:rPr>
              <w:t>3,9</w:t>
            </w:r>
          </w:p>
        </w:tc>
      </w:tr>
    </w:tbl>
    <w:p w:rsidR="00C83EEA" w:rsidRDefault="00C83EEA" w:rsidP="00C83EEA">
      <w:pPr>
        <w:jc w:val="both"/>
      </w:pPr>
      <w:r>
        <w:tab/>
        <w:t xml:space="preserve">С учетом темпов роста оборота розничной торговли в 2012 году и ростом </w:t>
      </w:r>
      <w:proofErr w:type="gramStart"/>
      <w:r>
        <w:t>тарифов</w:t>
      </w:r>
      <w:proofErr w:type="gramEnd"/>
      <w:r>
        <w:t xml:space="preserve"> на грузовые перевозки представленная тенденция к увеличению долей соответствующих </w:t>
      </w:r>
      <w:r>
        <w:lastRenderedPageBreak/>
        <w:t xml:space="preserve">сфер деятельности представляется вполне реалистичной. Одновременно темпы роста промышленного производства по итогам 1 полугодия и за 8 месяцев 2012 года имеют значение несколько выше, чем аналогичные показатели 2011 года, что дает возможность вполне обоснованно предполагать выполнение прогнозного значения объемов прибыли в 2012 году при соответствующей корректировке прогноза по уровню ВРП. </w:t>
      </w:r>
    </w:p>
    <w:p w:rsidR="00C83EEA" w:rsidRDefault="00C83EEA" w:rsidP="00C83EEA">
      <w:pPr>
        <w:ind w:firstLine="720"/>
        <w:jc w:val="both"/>
      </w:pPr>
      <w:r>
        <w:t xml:space="preserve">По оценке Контрольно-счетной палаты, </w:t>
      </w:r>
      <w:proofErr w:type="spellStart"/>
      <w:r>
        <w:t>расчетно</w:t>
      </w:r>
      <w:proofErr w:type="spellEnd"/>
      <w:r>
        <w:t xml:space="preserve"> объем поступлений по налогу на прибыль на 2013 год, предложенный Администрацией, практически верен (отклонение составило 31,4 </w:t>
      </w:r>
      <w:proofErr w:type="spellStart"/>
      <w:r>
        <w:t>млн</w:t>
      </w:r>
      <w:proofErr w:type="gramStart"/>
      <w:r>
        <w:t>.р</w:t>
      </w:r>
      <w:proofErr w:type="gramEnd"/>
      <w:r>
        <w:t>уб</w:t>
      </w:r>
      <w:proofErr w:type="spellEnd"/>
      <w:r>
        <w:t xml:space="preserve">.). По объемам на 2014 и 2015 годы возможно увеличение прогноза не менее, чем 600 </w:t>
      </w:r>
      <w:proofErr w:type="spellStart"/>
      <w:r>
        <w:t>млн</w:t>
      </w:r>
      <w:proofErr w:type="gramStart"/>
      <w:r>
        <w:t>.р</w:t>
      </w:r>
      <w:proofErr w:type="gramEnd"/>
      <w:r>
        <w:t>уб</w:t>
      </w:r>
      <w:proofErr w:type="spellEnd"/>
      <w:r>
        <w:t xml:space="preserve">. и 1 </w:t>
      </w:r>
      <w:proofErr w:type="spellStart"/>
      <w:r>
        <w:t>млрд.руб</w:t>
      </w:r>
      <w:proofErr w:type="spellEnd"/>
      <w:r>
        <w:t xml:space="preserve">. соответственно. Одновременно </w:t>
      </w:r>
      <w:r w:rsidRPr="00E625B4">
        <w:rPr>
          <w:b/>
        </w:rPr>
        <w:t xml:space="preserve">обсуждение и детальная проработка </w:t>
      </w:r>
      <w:proofErr w:type="gramStart"/>
      <w:r w:rsidRPr="00E625B4">
        <w:rPr>
          <w:b/>
        </w:rPr>
        <w:t>темпов роста номинального объема прибыли организаций</w:t>
      </w:r>
      <w:proofErr w:type="gramEnd"/>
      <w:r w:rsidRPr="00E625B4">
        <w:rPr>
          <w:b/>
        </w:rPr>
        <w:t xml:space="preserve"> по видам экономической деятельности позволит выявить резервы. </w:t>
      </w:r>
      <w:r>
        <w:t>Так,</w:t>
      </w:r>
      <w:r w:rsidRPr="00FA70D6">
        <w:t xml:space="preserve"> </w:t>
      </w:r>
      <w:r>
        <w:t xml:space="preserve">целесообразно критически оценить реалистичность снижения на 9,8 </w:t>
      </w:r>
      <w:proofErr w:type="spellStart"/>
      <w:r>
        <w:t>п.п</w:t>
      </w:r>
      <w:proofErr w:type="spellEnd"/>
      <w:r>
        <w:t>. (со 127,6 до 117,8) темпов роста поступлений по налогу на прибыль в 2013 году к ожидаемому объему за 2012 год. Несмотря на зачисление в областной бюджет в 1 полугодии 2012 года авансовых платежей от участников консолидированных групп налогоплательщиков, статистика фиксирует очевидный высокий темп роста начисленной прибыли за 8 месяцев текущего года – 124,4% к уровню аналогичного периода прошлого года.</w:t>
      </w:r>
    </w:p>
    <w:p w:rsidR="00C83EEA" w:rsidRDefault="00C83EEA" w:rsidP="00C83EEA">
      <w:pPr>
        <w:ind w:firstLine="720"/>
      </w:pPr>
    </w:p>
    <w:p w:rsidR="00C83EEA" w:rsidRDefault="00C83EEA" w:rsidP="00C83EEA">
      <w:pPr>
        <w:spacing w:line="25" w:lineRule="atLeast"/>
        <w:rPr>
          <w:b/>
        </w:rPr>
      </w:pPr>
      <w:r>
        <w:rPr>
          <w:b/>
        </w:rPr>
        <w:t xml:space="preserve">5.2 </w:t>
      </w:r>
      <w:r w:rsidRPr="00BF6457">
        <w:rPr>
          <w:b/>
        </w:rPr>
        <w:t>Н</w:t>
      </w:r>
      <w:r>
        <w:rPr>
          <w:b/>
        </w:rPr>
        <w:t>алог на доходы физических лиц.</w:t>
      </w:r>
    </w:p>
    <w:p w:rsidR="00C83EEA" w:rsidRDefault="00C83EEA" w:rsidP="00C83EEA">
      <w:pPr>
        <w:spacing w:line="25" w:lineRule="atLeast"/>
        <w:ind w:firstLine="708"/>
        <w:jc w:val="both"/>
      </w:pPr>
      <w:r>
        <w:t xml:space="preserve">Ожидаемое исполнение консолидированного бюджета в 2012 году по налогу на доходы физических лиц по оценке Администрации может составить 15 167,4 </w:t>
      </w:r>
      <w:proofErr w:type="spellStart"/>
      <w:r>
        <w:t>млн</w:t>
      </w:r>
      <w:proofErr w:type="gramStart"/>
      <w:r>
        <w:t>.р</w:t>
      </w:r>
      <w:proofErr w:type="gramEnd"/>
      <w:r>
        <w:t>уб</w:t>
      </w:r>
      <w:proofErr w:type="spellEnd"/>
      <w:r>
        <w:t xml:space="preserve">. (исполнение областного бюджета при нормативе зачисления 60% - 9 090,6 </w:t>
      </w:r>
      <w:proofErr w:type="spellStart"/>
      <w:r>
        <w:t>млн.руб</w:t>
      </w:r>
      <w:proofErr w:type="spellEnd"/>
      <w:r>
        <w:t>., темп роста к уровню  2011 года – 121,3%,  в сопоставимых ценах – 114,9%).</w:t>
      </w:r>
    </w:p>
    <w:p w:rsidR="00C83EEA" w:rsidRDefault="00C83EEA" w:rsidP="00C83EEA">
      <w:pPr>
        <w:spacing w:line="25" w:lineRule="atLeast"/>
        <w:ind w:firstLine="708"/>
        <w:jc w:val="both"/>
      </w:pPr>
      <w:r>
        <w:t>В материалах и документах к законопроекту поступление налога на доходы физических лиц в областной бюджет (по нормативу зачисления 70%) прогнозируется в следующих объемах:</w:t>
      </w:r>
    </w:p>
    <w:p w:rsidR="00C83EEA" w:rsidRDefault="00C83EEA" w:rsidP="00C83EEA">
      <w:pPr>
        <w:spacing w:line="25" w:lineRule="atLeast"/>
        <w:jc w:val="both"/>
      </w:pPr>
      <w:r>
        <w:t xml:space="preserve">- 10 158,3 </w:t>
      </w:r>
      <w:proofErr w:type="spellStart"/>
      <w:r>
        <w:t>млн</w:t>
      </w:r>
      <w:proofErr w:type="gramStart"/>
      <w:r>
        <w:t>.р</w:t>
      </w:r>
      <w:proofErr w:type="gramEnd"/>
      <w:r>
        <w:t>уб</w:t>
      </w:r>
      <w:proofErr w:type="spellEnd"/>
      <w:r>
        <w:t>. в 2013 году, с темпом роста 111,7%, в сопоставимых ценах – 104,9%;</w:t>
      </w:r>
    </w:p>
    <w:p w:rsidR="00C83EEA" w:rsidRDefault="00C83EEA" w:rsidP="00C83EEA">
      <w:pPr>
        <w:spacing w:line="25" w:lineRule="atLeast"/>
        <w:jc w:val="both"/>
      </w:pPr>
      <w:r>
        <w:t xml:space="preserve">- 11 324,3 </w:t>
      </w:r>
      <w:proofErr w:type="spellStart"/>
      <w:r>
        <w:t>млн</w:t>
      </w:r>
      <w:proofErr w:type="gramStart"/>
      <w:r>
        <w:t>.р</w:t>
      </w:r>
      <w:proofErr w:type="gramEnd"/>
      <w:r>
        <w:t>уб</w:t>
      </w:r>
      <w:proofErr w:type="spellEnd"/>
      <w:r>
        <w:t>. в 2014 году, с темпом роста 111,5%, в сопоставимых ценах – 105,6%;</w:t>
      </w:r>
    </w:p>
    <w:p w:rsidR="00C83EEA" w:rsidRDefault="00C83EEA" w:rsidP="00C83EEA">
      <w:pPr>
        <w:spacing w:line="25" w:lineRule="atLeast"/>
        <w:jc w:val="both"/>
      </w:pPr>
      <w:r>
        <w:t xml:space="preserve">- 12 548,1 </w:t>
      </w:r>
      <w:proofErr w:type="spellStart"/>
      <w:r>
        <w:t>млн</w:t>
      </w:r>
      <w:proofErr w:type="gramStart"/>
      <w:r>
        <w:t>.р</w:t>
      </w:r>
      <w:proofErr w:type="gramEnd"/>
      <w:r>
        <w:t>уб</w:t>
      </w:r>
      <w:proofErr w:type="spellEnd"/>
      <w:r>
        <w:t>. в 2015 году, с темпом роста 110,8%, в сопоставимых ценах – 105,5%.</w:t>
      </w:r>
    </w:p>
    <w:p w:rsidR="00C83EEA" w:rsidRDefault="00C83EEA" w:rsidP="00C83EEA">
      <w:pPr>
        <w:spacing w:line="25" w:lineRule="atLeast"/>
        <w:ind w:firstLine="708"/>
        <w:jc w:val="both"/>
      </w:pPr>
      <w:proofErr w:type="gramStart"/>
      <w:r>
        <w:t>Доля налога в объеме собственных доходов областного бюджета в 2012 году прогнозируется в объеме 28,9%, с некоторым снижением от 27,8% до 27,0% в 2013-2015 годах, в то время как Администрацией доля налога в 2013-2015 годах оценивается в размере 30,9%-30,0%. Прогноз объемов поступления налога в областной бюджет в динамике показывает общее снижение доли НДФЛ в объеме собственных доходов к 2015</w:t>
      </w:r>
      <w:proofErr w:type="gramEnd"/>
      <w:r>
        <w:t xml:space="preserve"> году ниже уровня 2011 года.</w:t>
      </w:r>
    </w:p>
    <w:p w:rsidR="00C83EEA" w:rsidRPr="00096B8B" w:rsidRDefault="00C83EEA" w:rsidP="00C83EEA">
      <w:pPr>
        <w:jc w:val="both"/>
      </w:pPr>
      <w:r>
        <w:tab/>
      </w:r>
      <w:r>
        <w:tab/>
      </w:r>
      <w:r>
        <w:rPr>
          <w:noProof/>
        </w:rPr>
        <w:drawing>
          <wp:inline distT="0" distB="0" distL="0" distR="0">
            <wp:extent cx="4114800" cy="22860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114800" cy="2286000"/>
                    </a:xfrm>
                    <a:prstGeom prst="rect">
                      <a:avLst/>
                    </a:prstGeom>
                    <a:noFill/>
                    <a:ln>
                      <a:noFill/>
                    </a:ln>
                  </pic:spPr>
                </pic:pic>
              </a:graphicData>
            </a:graphic>
          </wp:inline>
        </w:drawing>
      </w:r>
    </w:p>
    <w:p w:rsidR="00C83EEA" w:rsidRDefault="00C83EEA" w:rsidP="00C83EEA">
      <w:pPr>
        <w:ind w:firstLine="708"/>
        <w:jc w:val="both"/>
      </w:pPr>
      <w:r>
        <w:t xml:space="preserve">Контрольно-счетной палатой проанализированы основания, по которым производился расчет доходов бюджета от налога на доходы физических лиц. Общий тренд динамики темпов роста налога на доходы физических лиц до 2012 года в целом </w:t>
      </w:r>
      <w:r>
        <w:lastRenderedPageBreak/>
        <w:t xml:space="preserve">соответствует, а на период с 2013 до 2015 годы совпадает с темпами </w:t>
      </w:r>
      <w:proofErr w:type="gramStart"/>
      <w:r>
        <w:t>роста номинальных объемов фонда оплаты труда</w:t>
      </w:r>
      <w:proofErr w:type="gramEnd"/>
      <w:r>
        <w:t>.</w:t>
      </w:r>
    </w:p>
    <w:p w:rsidR="00C83EEA" w:rsidRDefault="00C83EEA" w:rsidP="00C83EEA">
      <w:pPr>
        <w:ind w:firstLine="708"/>
        <w:jc w:val="both"/>
      </w:pPr>
      <w:r>
        <w:t xml:space="preserve">При этом обращает внимание, что темп роста налога в 2012 году по оценке Администрации может превысить темп роста ФОТ на 5,8 </w:t>
      </w:r>
      <w:proofErr w:type="spellStart"/>
      <w:r>
        <w:t>п.п</w:t>
      </w:r>
      <w:proofErr w:type="spellEnd"/>
      <w:r>
        <w:t xml:space="preserve">., а на 2013 год прогнозируется снижение темпа роста налога на 4,6 </w:t>
      </w:r>
      <w:proofErr w:type="spellStart"/>
      <w:r>
        <w:t>п.п</w:t>
      </w:r>
      <w:proofErr w:type="spellEnd"/>
      <w:r>
        <w:t>. до уровня темпов роста ФОТ. Пояснение</w:t>
      </w:r>
      <w:r w:rsidRPr="004D3359">
        <w:t xml:space="preserve"> причин </w:t>
      </w:r>
      <w:r>
        <w:t xml:space="preserve">неравномерной динамики темпов роста налога, не увязанной с динамикой номинальных объемов фонда оплаты труда, и резкого изменения в сторону снижения </w:t>
      </w:r>
      <w:r w:rsidRPr="004D3359">
        <w:t>в материалах к законопроекту</w:t>
      </w:r>
      <w:r>
        <w:t xml:space="preserve"> отсутствует.</w:t>
      </w:r>
    </w:p>
    <w:p w:rsidR="00C83EEA" w:rsidRDefault="00C83EEA" w:rsidP="00C83EEA">
      <w:pPr>
        <w:ind w:firstLine="708"/>
        <w:jc w:val="both"/>
      </w:pPr>
      <w:r>
        <w:t>По прогнозам Минэкономразвития реальная заработная плата работников бюджетной сети учреждений за 2013-2015 годы может вырасти на 18,2%, а в корпоративном секторе – на 14,3%, что в целом может дать прирост к 2015 году – 15,9%.</w:t>
      </w:r>
    </w:p>
    <w:p w:rsidR="00C83EEA" w:rsidRDefault="00C83EEA" w:rsidP="00C83EEA">
      <w:pPr>
        <w:ind w:firstLine="708"/>
        <w:jc w:val="both"/>
      </w:pPr>
      <w:r>
        <w:t>Так, начиная с 2013 года, предполагается поэтапный рост заработной платы в учреждениях социальной сферы для увеличения соотношения их среднемесячной заработной платы со среднемесячной заработной платой в экономике региона (на 2013-2015 годы в проекте областного бюджета и бюджета ТФОМС зарезервированы средства, в том числе планируется получение дотации из федерального бюджета).</w:t>
      </w:r>
    </w:p>
    <w:p w:rsidR="00C83EEA" w:rsidRDefault="00C83EEA" w:rsidP="00C83EEA">
      <w:pPr>
        <w:jc w:val="both"/>
      </w:pPr>
      <w:r>
        <w:tab/>
        <w:t xml:space="preserve">Кроме того, необходимо отметить об увеличении с 1 ноября на 3 </w:t>
      </w:r>
      <w:proofErr w:type="spellStart"/>
      <w:r>
        <w:t>п.п</w:t>
      </w:r>
      <w:proofErr w:type="spellEnd"/>
      <w:r>
        <w:t xml:space="preserve">. размера </w:t>
      </w:r>
      <w:proofErr w:type="gramStart"/>
      <w:r>
        <w:t>индексации фондов оплаты труда работников бюджетной сферы</w:t>
      </w:r>
      <w:proofErr w:type="gramEnd"/>
      <w:r>
        <w:t xml:space="preserve"> от первоначально запланированного размера индексации. По информации Администрации это не потребует дополнительных расходов областного бюджета в 2012 году, но свидетельствует о необходимости корректировки прогнозных объемов заработной платы и, соответственно,  налоговых отчислений на 2013 год в сторону увеличения, ввиду увеличения базы на 3 </w:t>
      </w:r>
      <w:proofErr w:type="spellStart"/>
      <w:r>
        <w:t>п.п</w:t>
      </w:r>
      <w:proofErr w:type="spellEnd"/>
      <w:r>
        <w:t>.</w:t>
      </w:r>
    </w:p>
    <w:p w:rsidR="00C83EEA" w:rsidRPr="004D3359" w:rsidRDefault="00C83EEA" w:rsidP="00C83EEA">
      <w:pPr>
        <w:spacing w:line="25" w:lineRule="atLeast"/>
        <w:ind w:firstLine="708"/>
        <w:jc w:val="both"/>
      </w:pPr>
      <w:r>
        <w:t>С учетом этого прогнозные значения на 2013-2015 годы требуют корректировки.</w:t>
      </w:r>
    </w:p>
    <w:p w:rsidR="00C83EEA" w:rsidRDefault="00C83EEA" w:rsidP="00C83EEA">
      <w:pPr>
        <w:ind w:firstLine="708"/>
        <w:jc w:val="both"/>
      </w:pPr>
    </w:p>
    <w:p w:rsidR="00C83EEA" w:rsidRPr="00593452" w:rsidRDefault="00C83EEA" w:rsidP="00C83EEA">
      <w:pPr>
        <w:ind w:firstLine="708"/>
        <w:jc w:val="both"/>
      </w:pPr>
      <w:r>
        <w:rPr>
          <w:noProof/>
        </w:rPr>
        <w:drawing>
          <wp:inline distT="0" distB="0" distL="0" distR="0">
            <wp:extent cx="4714875" cy="27813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714875" cy="2781300"/>
                    </a:xfrm>
                    <a:prstGeom prst="rect">
                      <a:avLst/>
                    </a:prstGeom>
                    <a:noFill/>
                    <a:ln>
                      <a:noFill/>
                    </a:ln>
                  </pic:spPr>
                </pic:pic>
              </a:graphicData>
            </a:graphic>
          </wp:inline>
        </w:drawing>
      </w:r>
    </w:p>
    <w:p w:rsidR="00C83EEA" w:rsidRPr="004C0194" w:rsidRDefault="00C83EEA" w:rsidP="00C83EEA">
      <w:pPr>
        <w:ind w:firstLine="708"/>
        <w:jc w:val="both"/>
      </w:pPr>
    </w:p>
    <w:p w:rsidR="00C83EEA" w:rsidRDefault="00C83EEA" w:rsidP="00C83EEA">
      <w:pPr>
        <w:ind w:firstLine="708"/>
        <w:jc w:val="both"/>
      </w:pPr>
      <w:r>
        <w:t xml:space="preserve">Исходя из факта поступлений НДФЛ в консолидированный бюджет за 8 месяцев текущего года в сумме 9 365,9 </w:t>
      </w:r>
      <w:proofErr w:type="spellStart"/>
      <w:r>
        <w:t>млн</w:t>
      </w:r>
      <w:proofErr w:type="gramStart"/>
      <w:r>
        <w:t>.р</w:t>
      </w:r>
      <w:proofErr w:type="gramEnd"/>
      <w:r>
        <w:t>уб</w:t>
      </w:r>
      <w:proofErr w:type="spellEnd"/>
      <w:r>
        <w:t xml:space="preserve">. и среднемесячном поступлении налога в сумме 1 170,7 </w:t>
      </w:r>
      <w:proofErr w:type="spellStart"/>
      <w:r>
        <w:t>млн.руб</w:t>
      </w:r>
      <w:proofErr w:type="spellEnd"/>
      <w:r>
        <w:t>. (что обусловлено ростом фонда заработной платы всех работников по полному кругу предприятий и снижением просроченной задолженности по заработной плате),</w:t>
      </w:r>
      <w:r w:rsidRPr="006F65B5">
        <w:t xml:space="preserve"> </w:t>
      </w:r>
      <w:r>
        <w:t>можно прогнозировать ожидаемое исполнение несколько выше, чем указано в прогнозе Администрации.</w:t>
      </w:r>
    </w:p>
    <w:p w:rsidR="00C83EEA" w:rsidRPr="009D211D" w:rsidRDefault="00C83EEA" w:rsidP="00C83EEA">
      <w:pPr>
        <w:ind w:firstLine="708"/>
        <w:jc w:val="both"/>
        <w:rPr>
          <w:b/>
        </w:rPr>
      </w:pPr>
      <w:r>
        <w:t xml:space="preserve">Таким образом, </w:t>
      </w:r>
      <w:r w:rsidRPr="009D211D">
        <w:rPr>
          <w:b/>
        </w:rPr>
        <w:t>есть основания для более точного прогнозирования доходов по данному источнику в сторону увеличения.</w:t>
      </w:r>
    </w:p>
    <w:p w:rsidR="00C83EEA" w:rsidRDefault="00C83EEA" w:rsidP="00C83EEA">
      <w:pPr>
        <w:jc w:val="both"/>
        <w:rPr>
          <w:b/>
        </w:rPr>
      </w:pPr>
    </w:p>
    <w:p w:rsidR="00C83EEA" w:rsidRDefault="00C83EEA" w:rsidP="00C83EEA">
      <w:pPr>
        <w:jc w:val="both"/>
        <w:rPr>
          <w:b/>
        </w:rPr>
      </w:pPr>
      <w:r>
        <w:rPr>
          <w:b/>
        </w:rPr>
        <w:t>5.3 А</w:t>
      </w:r>
      <w:r w:rsidRPr="00A74222">
        <w:rPr>
          <w:b/>
        </w:rPr>
        <w:t>кциз</w:t>
      </w:r>
      <w:r>
        <w:rPr>
          <w:b/>
        </w:rPr>
        <w:t>ы</w:t>
      </w:r>
      <w:r w:rsidRPr="00A74222">
        <w:rPr>
          <w:b/>
        </w:rPr>
        <w:t xml:space="preserve"> по подакцизным товарам (продукции), производимым на территории Российской Федерации</w:t>
      </w:r>
      <w:r>
        <w:rPr>
          <w:b/>
        </w:rPr>
        <w:t>.</w:t>
      </w:r>
    </w:p>
    <w:p w:rsidR="00C83EEA" w:rsidRPr="00F13AD7" w:rsidRDefault="00C83EEA" w:rsidP="00C83EEA">
      <w:pPr>
        <w:ind w:firstLine="708"/>
        <w:jc w:val="both"/>
      </w:pPr>
      <w:r w:rsidRPr="00F13AD7">
        <w:lastRenderedPageBreak/>
        <w:t>Доходы областного бюджета от уплаты акцизов по подакцизным товарам (продукции) в 201</w:t>
      </w:r>
      <w:r>
        <w:t>3</w:t>
      </w:r>
      <w:r w:rsidRPr="00F13AD7">
        <w:t xml:space="preserve"> году планируются в размере </w:t>
      </w:r>
      <w:r w:rsidRPr="00034445">
        <w:t>4</w:t>
      </w:r>
      <w:r>
        <w:t> 895,449</w:t>
      </w:r>
      <w:r w:rsidRPr="00F13AD7">
        <w:t xml:space="preserve"> </w:t>
      </w:r>
      <w:proofErr w:type="spellStart"/>
      <w:r w:rsidRPr="00F13AD7">
        <w:t>млн</w:t>
      </w:r>
      <w:proofErr w:type="gramStart"/>
      <w:r w:rsidRPr="00F13AD7">
        <w:t>.р</w:t>
      </w:r>
      <w:proofErr w:type="gramEnd"/>
      <w:r w:rsidRPr="00F13AD7">
        <w:t>уб</w:t>
      </w:r>
      <w:proofErr w:type="spellEnd"/>
      <w:r w:rsidRPr="00F13AD7">
        <w:t xml:space="preserve">., что выше </w:t>
      </w:r>
      <w:r>
        <w:t xml:space="preserve">планируемых в общей сумме собственных доходов по действующей редакции </w:t>
      </w:r>
      <w:r w:rsidRPr="00F13AD7">
        <w:t>Закон</w:t>
      </w:r>
      <w:r>
        <w:t>а</w:t>
      </w:r>
      <w:r w:rsidRPr="00F13AD7">
        <w:t xml:space="preserve"> Томской области «Об областном бюджете на 20</w:t>
      </w:r>
      <w:r>
        <w:t>12</w:t>
      </w:r>
      <w:r w:rsidRPr="00F13AD7">
        <w:t xml:space="preserve"> год и на плановый период 201</w:t>
      </w:r>
      <w:r>
        <w:t>3</w:t>
      </w:r>
      <w:r w:rsidRPr="00F13AD7">
        <w:t xml:space="preserve"> и 201</w:t>
      </w:r>
      <w:r>
        <w:t>4</w:t>
      </w:r>
      <w:r w:rsidRPr="00F13AD7">
        <w:t xml:space="preserve"> годов» на  </w:t>
      </w:r>
      <w:r w:rsidRPr="00034445">
        <w:t>77</w:t>
      </w:r>
      <w:r>
        <w:t xml:space="preserve">4,991 </w:t>
      </w:r>
      <w:proofErr w:type="spellStart"/>
      <w:r w:rsidRPr="00F13AD7">
        <w:t>млн.руб</w:t>
      </w:r>
      <w:proofErr w:type="spellEnd"/>
      <w:r w:rsidRPr="00F13AD7">
        <w:t>. или на </w:t>
      </w:r>
      <w:r>
        <w:t>18,8</w:t>
      </w:r>
      <w:r w:rsidRPr="00F13AD7">
        <w:t>%. В 201</w:t>
      </w:r>
      <w:r>
        <w:t>4</w:t>
      </w:r>
      <w:r w:rsidRPr="00F13AD7">
        <w:t xml:space="preserve"> году планируется увеличение доходов</w:t>
      </w:r>
      <w:r w:rsidRPr="003A5CEC">
        <w:t xml:space="preserve"> </w:t>
      </w:r>
      <w:r w:rsidRPr="00F13AD7">
        <w:t>от уплаты акцизов по сравнению с 201</w:t>
      </w:r>
      <w:r>
        <w:t>3</w:t>
      </w:r>
      <w:r w:rsidRPr="00F13AD7">
        <w:t xml:space="preserve"> годом на  </w:t>
      </w:r>
      <w:r w:rsidRPr="00034445">
        <w:t>968</w:t>
      </w:r>
      <w:r>
        <w:t xml:space="preserve">,446 </w:t>
      </w:r>
      <w:proofErr w:type="spellStart"/>
      <w:r w:rsidRPr="00F13AD7">
        <w:t>млн</w:t>
      </w:r>
      <w:proofErr w:type="gramStart"/>
      <w:r w:rsidRPr="00F13AD7">
        <w:t>.р</w:t>
      </w:r>
      <w:proofErr w:type="gramEnd"/>
      <w:r w:rsidRPr="00F13AD7">
        <w:t>уб</w:t>
      </w:r>
      <w:proofErr w:type="spellEnd"/>
      <w:r w:rsidRPr="00F13AD7">
        <w:t>. или </w:t>
      </w:r>
      <w:r>
        <w:t>19,</w:t>
      </w:r>
      <w:r w:rsidRPr="00034445">
        <w:t>8</w:t>
      </w:r>
      <w:r w:rsidRPr="00F13AD7">
        <w:t>%, в 201</w:t>
      </w:r>
      <w:r>
        <w:t>5</w:t>
      </w:r>
      <w:r w:rsidRPr="00F13AD7">
        <w:t xml:space="preserve"> году по сравнению с 201</w:t>
      </w:r>
      <w:r>
        <w:t>4</w:t>
      </w:r>
      <w:r w:rsidRPr="00F13AD7">
        <w:t xml:space="preserve"> годом на </w:t>
      </w:r>
      <w:r>
        <w:t xml:space="preserve">1 244,73 </w:t>
      </w:r>
      <w:proofErr w:type="spellStart"/>
      <w:r w:rsidRPr="00F13AD7">
        <w:t>млн.руб</w:t>
      </w:r>
      <w:proofErr w:type="spellEnd"/>
      <w:r w:rsidRPr="00F13AD7">
        <w:t xml:space="preserve">. или </w:t>
      </w:r>
      <w:r>
        <w:t>21,2</w:t>
      </w:r>
      <w:r w:rsidRPr="00F13AD7">
        <w:t xml:space="preserve">%. </w:t>
      </w:r>
    </w:p>
    <w:p w:rsidR="00C83EEA" w:rsidRDefault="00C83EEA" w:rsidP="00C83EEA">
      <w:pPr>
        <w:ind w:firstLine="708"/>
        <w:jc w:val="both"/>
      </w:pPr>
      <w:proofErr w:type="gramStart"/>
      <w:r w:rsidRPr="00F13AD7">
        <w:t>На 201</w:t>
      </w:r>
      <w:r>
        <w:t>3</w:t>
      </w:r>
      <w:r w:rsidRPr="00F13AD7">
        <w:t>-201</w:t>
      </w:r>
      <w:r>
        <w:t xml:space="preserve">5 годы </w:t>
      </w:r>
      <w:r w:rsidRPr="00F13AD7">
        <w:t>доход</w:t>
      </w:r>
      <w:r>
        <w:t>ы</w:t>
      </w:r>
      <w:r w:rsidRPr="00F13AD7">
        <w:t xml:space="preserve"> </w:t>
      </w:r>
      <w:r>
        <w:t>от уплаты</w:t>
      </w:r>
      <w:r w:rsidRPr="00F13AD7">
        <w:t xml:space="preserve"> акциз</w:t>
      </w:r>
      <w:r>
        <w:t>ов</w:t>
      </w:r>
      <w:r w:rsidRPr="00F13AD7">
        <w:t xml:space="preserve"> </w:t>
      </w:r>
      <w:r>
        <w:t>формируются</w:t>
      </w:r>
      <w:r w:rsidRPr="00F13AD7">
        <w:t xml:space="preserve"> с учетом положений</w:t>
      </w:r>
      <w:r>
        <w:t xml:space="preserve"> </w:t>
      </w:r>
      <w:r w:rsidRPr="00F13AD7">
        <w:t>гл</w:t>
      </w:r>
      <w:r w:rsidRPr="00F13AD7">
        <w:t>а</w:t>
      </w:r>
      <w:r w:rsidRPr="00F13AD7">
        <w:t>в</w:t>
      </w:r>
      <w:r>
        <w:t xml:space="preserve">ы 22 </w:t>
      </w:r>
      <w:r w:rsidRPr="00F13AD7">
        <w:t>Налогового кодекса РФ</w:t>
      </w:r>
      <w:r>
        <w:t>, проекта федерального закона «О внесении изменений в статью 193 части второй Налогового кодекса РФ»,</w:t>
      </w:r>
      <w:r w:rsidRPr="00936EDF">
        <w:t xml:space="preserve"> проекта федерального закона «О федеральном бюджете на 2013 год и </w:t>
      </w:r>
      <w:r>
        <w:t xml:space="preserve">на </w:t>
      </w:r>
      <w:r w:rsidRPr="00936EDF">
        <w:t>плановый период 2014 и 2015 год</w:t>
      </w:r>
      <w:r>
        <w:t>ов</w:t>
      </w:r>
      <w:r w:rsidRPr="00936EDF">
        <w:t>»</w:t>
      </w:r>
      <w:r>
        <w:t>, Основных направлений налоговой политики на 2013 год и плановый период 2014 и 2015</w:t>
      </w:r>
      <w:proofErr w:type="gramEnd"/>
      <w:r>
        <w:t xml:space="preserve"> годов. В </w:t>
      </w:r>
      <w:r w:rsidRPr="000B5C2E">
        <w:t>201</w:t>
      </w:r>
      <w:r>
        <w:t>3</w:t>
      </w:r>
      <w:r w:rsidRPr="000B5C2E">
        <w:t xml:space="preserve"> год</w:t>
      </w:r>
      <w:r>
        <w:t>у</w:t>
      </w:r>
      <w:r w:rsidRPr="000B5C2E">
        <w:t xml:space="preserve"> доля доходов от акцизов</w:t>
      </w:r>
      <w:r w:rsidRPr="00DA3B87">
        <w:t>, поступающи</w:t>
      </w:r>
      <w:r>
        <w:t>х</w:t>
      </w:r>
      <w:r w:rsidRPr="00DA3B87">
        <w:t xml:space="preserve"> в областной бюджет от уплаты производителями Томской области акцизов</w:t>
      </w:r>
      <w:r w:rsidRPr="00A56EF5">
        <w:t xml:space="preserve"> </w:t>
      </w:r>
      <w:r w:rsidRPr="000B5C2E">
        <w:t>на алкогольную продукц</w:t>
      </w:r>
      <w:r w:rsidRPr="00DA3B87">
        <w:t>ию с объемной долей спирта этилового свыше 9 до 25 процентов и свыше 25 процентов, состав</w:t>
      </w:r>
      <w:r>
        <w:t>и</w:t>
      </w:r>
      <w:r w:rsidRPr="00DA3B87">
        <w:t>т 40%</w:t>
      </w:r>
      <w:r>
        <w:t>,</w:t>
      </w:r>
      <w:r w:rsidRPr="00DA3B87">
        <w:t xml:space="preserve"> </w:t>
      </w:r>
      <w:r>
        <w:t xml:space="preserve">на </w:t>
      </w:r>
      <w:r w:rsidRPr="00DA3B87">
        <w:t>алкогольную продукцию с объемной долей спирта этилового до 9%</w:t>
      </w:r>
      <w:r>
        <w:t>,</w:t>
      </w:r>
      <w:r w:rsidRPr="00DA3B87">
        <w:t xml:space="preserve"> пиво,</w:t>
      </w:r>
      <w:r>
        <w:t xml:space="preserve"> </w:t>
      </w:r>
      <w:r w:rsidRPr="00DA3B87">
        <w:t>вина</w:t>
      </w:r>
      <w:r>
        <w:t xml:space="preserve"> - 100%. </w:t>
      </w:r>
    </w:p>
    <w:p w:rsidR="00C83EEA" w:rsidRDefault="00C83EEA" w:rsidP="00C83EEA">
      <w:pPr>
        <w:shd w:val="clear" w:color="auto" w:fill="FFFFFF"/>
        <w:ind w:firstLine="708"/>
        <w:jc w:val="both"/>
      </w:pPr>
      <w:r w:rsidRPr="00667B46">
        <w:t>Согласно проекту федерального закона «О внесении изменений в статью 193 части второй Налогового кодекса РФ»</w:t>
      </w:r>
      <w:r>
        <w:t xml:space="preserve"> ин</w:t>
      </w:r>
      <w:r w:rsidRPr="00F13AD7">
        <w:t>дексаци</w:t>
      </w:r>
      <w:r>
        <w:t>я</w:t>
      </w:r>
      <w:r w:rsidRPr="00F13AD7">
        <w:t xml:space="preserve"> ставок акцизов </w:t>
      </w:r>
      <w:r>
        <w:t xml:space="preserve">в 2013-2015 годах </w:t>
      </w:r>
      <w:r w:rsidRPr="00F13AD7">
        <w:t xml:space="preserve">на </w:t>
      </w:r>
      <w:r w:rsidRPr="000B5C2E">
        <w:t>алкогольную продукц</w:t>
      </w:r>
      <w:r w:rsidRPr="00DA3B87">
        <w:t>ию с объемной долей спирта этилового свыше 9 до 25 процентов и свыше 25 процентов, алкогольную продукцию с объемной долей спирта этилового до 9%</w:t>
      </w:r>
      <w:r>
        <w:t>,</w:t>
      </w:r>
      <w:r w:rsidRPr="00DA3B87">
        <w:t xml:space="preserve"> пиво,</w:t>
      </w:r>
      <w:r>
        <w:t xml:space="preserve"> </w:t>
      </w:r>
      <w:r w:rsidRPr="00DA3B87">
        <w:t>вина</w:t>
      </w:r>
      <w:r>
        <w:t xml:space="preserve"> составит:</w:t>
      </w:r>
    </w:p>
    <w:p w:rsidR="00C83EEA" w:rsidRDefault="00C83EEA" w:rsidP="00C83EEA">
      <w:pPr>
        <w:shd w:val="clear" w:color="auto" w:fill="FFFFFF"/>
        <w:ind w:firstLine="708"/>
        <w:jc w:val="both"/>
        <w:rPr>
          <w:spacing w:val="-5"/>
        </w:rPr>
      </w:pPr>
      <w:r>
        <w:rPr>
          <w:spacing w:val="-5"/>
        </w:rPr>
        <w:t xml:space="preserve">- в 2013 году </w:t>
      </w:r>
      <w:r w:rsidRPr="00F13AD7">
        <w:t xml:space="preserve">на </w:t>
      </w:r>
      <w:r w:rsidRPr="000B5C2E">
        <w:t>алкогольную продукц</w:t>
      </w:r>
      <w:r w:rsidRPr="00DA3B87">
        <w:t>ию с объемной долей спирта этилового свыше 9 процентов</w:t>
      </w:r>
      <w:r>
        <w:t xml:space="preserve"> на 44,4%</w:t>
      </w:r>
      <w:r w:rsidRPr="00DA3B87">
        <w:t>, алкогольную продукцию с объемной долей спирта этилового до 9%</w:t>
      </w:r>
      <w:r>
        <w:t xml:space="preserve"> на 28 %,</w:t>
      </w:r>
      <w:r w:rsidRPr="00DA3B87">
        <w:t xml:space="preserve"> пиво</w:t>
      </w:r>
      <w:r>
        <w:t xml:space="preserve"> на 25%</w:t>
      </w:r>
      <w:r w:rsidRPr="00DA3B87">
        <w:t>,</w:t>
      </w:r>
      <w:r>
        <w:t xml:space="preserve"> </w:t>
      </w:r>
      <w:r w:rsidRPr="00DA3B87">
        <w:t>вина</w:t>
      </w:r>
      <w:r>
        <w:t xml:space="preserve"> </w:t>
      </w:r>
      <w:proofErr w:type="gramStart"/>
      <w:r>
        <w:t>на</w:t>
      </w:r>
      <w:proofErr w:type="gramEnd"/>
      <w:r>
        <w:t xml:space="preserve"> 16,6%</w:t>
      </w:r>
      <w:r>
        <w:rPr>
          <w:spacing w:val="-5"/>
        </w:rPr>
        <w:t>;</w:t>
      </w:r>
    </w:p>
    <w:p w:rsidR="00C83EEA" w:rsidRDefault="00C83EEA" w:rsidP="00C83EEA">
      <w:pPr>
        <w:shd w:val="clear" w:color="auto" w:fill="FFFFFF"/>
        <w:ind w:firstLine="708"/>
        <w:jc w:val="both"/>
        <w:rPr>
          <w:spacing w:val="-5"/>
        </w:rPr>
      </w:pPr>
      <w:r>
        <w:rPr>
          <w:spacing w:val="-5"/>
        </w:rPr>
        <w:t xml:space="preserve">- в 2014 году </w:t>
      </w:r>
      <w:r w:rsidRPr="00F13AD7">
        <w:t xml:space="preserve">на </w:t>
      </w:r>
      <w:r w:rsidRPr="000B5C2E">
        <w:t>алкогольную продукц</w:t>
      </w:r>
      <w:r w:rsidRPr="00DA3B87">
        <w:t>ию с объемной долей спирта этилового свыше 9</w:t>
      </w:r>
      <w:r>
        <w:t xml:space="preserve"> процентов на 25%</w:t>
      </w:r>
      <w:r w:rsidRPr="00DA3B87">
        <w:t>, алкогольную продукцию с объемной долей спирта этилового до 9%</w:t>
      </w:r>
      <w:r>
        <w:t xml:space="preserve"> на 25%,</w:t>
      </w:r>
      <w:r w:rsidRPr="00DA3B87">
        <w:t xml:space="preserve"> пиво</w:t>
      </w:r>
      <w:r>
        <w:t xml:space="preserve"> на 20%</w:t>
      </w:r>
      <w:r w:rsidRPr="00DA3B87">
        <w:t>,</w:t>
      </w:r>
      <w:r>
        <w:t xml:space="preserve"> </w:t>
      </w:r>
      <w:r w:rsidRPr="00DA3B87">
        <w:t>вина</w:t>
      </w:r>
      <w:r>
        <w:t xml:space="preserve"> </w:t>
      </w:r>
      <w:proofErr w:type="gramStart"/>
      <w:r>
        <w:t>на</w:t>
      </w:r>
      <w:proofErr w:type="gramEnd"/>
      <w:r>
        <w:t xml:space="preserve"> 14,2%</w:t>
      </w:r>
      <w:r>
        <w:rPr>
          <w:spacing w:val="-5"/>
        </w:rPr>
        <w:t>;</w:t>
      </w:r>
    </w:p>
    <w:p w:rsidR="00C83EEA" w:rsidRDefault="00C83EEA" w:rsidP="00C83EEA">
      <w:pPr>
        <w:shd w:val="clear" w:color="auto" w:fill="FFFFFF"/>
        <w:ind w:firstLine="708"/>
        <w:jc w:val="both"/>
        <w:rPr>
          <w:spacing w:val="-5"/>
        </w:rPr>
      </w:pPr>
      <w:r>
        <w:rPr>
          <w:spacing w:val="-5"/>
        </w:rPr>
        <w:t xml:space="preserve">- в 2015 году </w:t>
      </w:r>
      <w:r w:rsidRPr="00F13AD7">
        <w:t xml:space="preserve">на </w:t>
      </w:r>
      <w:r w:rsidRPr="000B5C2E">
        <w:t>алкогольную продукц</w:t>
      </w:r>
      <w:r w:rsidRPr="00DA3B87">
        <w:t>ию с объемной долей спирта этилового свыше 9 процентов</w:t>
      </w:r>
      <w:r>
        <w:t xml:space="preserve"> на 20%</w:t>
      </w:r>
      <w:r w:rsidRPr="00DA3B87">
        <w:t>, алкогольную продукцию с объемной долей спирта этилового до 9%</w:t>
      </w:r>
      <w:r>
        <w:t xml:space="preserve"> на 25%,</w:t>
      </w:r>
      <w:r w:rsidRPr="00DA3B87">
        <w:t xml:space="preserve"> пиво</w:t>
      </w:r>
      <w:r>
        <w:t xml:space="preserve"> на 11,1%</w:t>
      </w:r>
      <w:r w:rsidRPr="00DA3B87">
        <w:t>,</w:t>
      </w:r>
      <w:r>
        <w:t xml:space="preserve"> </w:t>
      </w:r>
      <w:r w:rsidRPr="00DA3B87">
        <w:t>вина</w:t>
      </w:r>
      <w:r>
        <w:t xml:space="preserve"> </w:t>
      </w:r>
      <w:proofErr w:type="gramStart"/>
      <w:r>
        <w:t>на</w:t>
      </w:r>
      <w:proofErr w:type="gramEnd"/>
      <w:r>
        <w:t xml:space="preserve"> 12,5%</w:t>
      </w:r>
      <w:r>
        <w:rPr>
          <w:spacing w:val="-5"/>
        </w:rPr>
        <w:t>.</w:t>
      </w:r>
    </w:p>
    <w:p w:rsidR="00C83EEA" w:rsidRDefault="00C83EEA" w:rsidP="00C83EEA">
      <w:pPr>
        <w:pStyle w:val="a3"/>
        <w:spacing w:after="0"/>
        <w:ind w:firstLine="708"/>
        <w:jc w:val="both"/>
      </w:pPr>
      <w:r>
        <w:t xml:space="preserve">Прогнозируемое поступление в 2012 году доходов от уплаты акцизов </w:t>
      </w:r>
      <w:r w:rsidRPr="009745F7">
        <w:t>на алкогольную продукцию с объемной долей этилового спирта свыше 9 процентов</w:t>
      </w:r>
      <w:r>
        <w:t xml:space="preserve"> по данным Администрации составит 50 933 </w:t>
      </w:r>
      <w:proofErr w:type="spellStart"/>
      <w:r>
        <w:t>тыс</w:t>
      </w:r>
      <w:proofErr w:type="gramStart"/>
      <w:r>
        <w:t>.р</w:t>
      </w:r>
      <w:proofErr w:type="gramEnd"/>
      <w:r>
        <w:t>уб</w:t>
      </w:r>
      <w:proofErr w:type="spellEnd"/>
      <w:r>
        <w:t xml:space="preserve">., однако при фактически сложившемся темпе уплаты акцизов на указанный вид алкогольной продукции в 2012 году возможно поступление доходов от уплаты акцизов только в объеме 11 407,8 </w:t>
      </w:r>
      <w:proofErr w:type="spellStart"/>
      <w:r>
        <w:t>тыс.руб</w:t>
      </w:r>
      <w:proofErr w:type="spellEnd"/>
      <w:r>
        <w:t xml:space="preserve">.   </w:t>
      </w:r>
    </w:p>
    <w:p w:rsidR="00C83EEA" w:rsidRPr="00D500F2" w:rsidRDefault="00C83EEA" w:rsidP="00C83EEA">
      <w:pPr>
        <w:pStyle w:val="a3"/>
        <w:spacing w:after="0"/>
        <w:ind w:firstLine="708"/>
        <w:jc w:val="both"/>
      </w:pPr>
      <w:r w:rsidRPr="00D500F2">
        <w:t>Согласно данным</w:t>
      </w:r>
      <w:r>
        <w:t>, указанным в</w:t>
      </w:r>
      <w:r w:rsidRPr="00D500F2">
        <w:t xml:space="preserve"> </w:t>
      </w:r>
      <w:r>
        <w:t xml:space="preserve">материалах к </w:t>
      </w:r>
      <w:r w:rsidRPr="00D500F2">
        <w:t>законопроект</w:t>
      </w:r>
      <w:r>
        <w:t>у,</w:t>
      </w:r>
      <w:r w:rsidRPr="00D500F2">
        <w:t xml:space="preserve"> объем</w:t>
      </w:r>
      <w:r w:rsidRPr="0010750D">
        <w:t xml:space="preserve"> </w:t>
      </w:r>
      <w:r w:rsidRPr="009745F7">
        <w:t>алкогольн</w:t>
      </w:r>
      <w:r>
        <w:t>ой</w:t>
      </w:r>
      <w:r w:rsidRPr="009745F7">
        <w:t xml:space="preserve"> продукци</w:t>
      </w:r>
      <w:r>
        <w:t>и</w:t>
      </w:r>
      <w:r w:rsidRPr="009745F7">
        <w:t xml:space="preserve"> с объемной долей этилового спирта свыше 9 процентов</w:t>
      </w:r>
      <w:r>
        <w:t xml:space="preserve">, произведенный томскими производителями в 2013 году, составит 252 </w:t>
      </w:r>
      <w:proofErr w:type="spellStart"/>
      <w:r>
        <w:t>тыс</w:t>
      </w:r>
      <w:proofErr w:type="gramStart"/>
      <w:r>
        <w:t>.д</w:t>
      </w:r>
      <w:proofErr w:type="gramEnd"/>
      <w:r>
        <w:t>кл</w:t>
      </w:r>
      <w:proofErr w:type="spellEnd"/>
      <w:r>
        <w:t>.</w:t>
      </w:r>
      <w:r w:rsidRPr="00D500F2">
        <w:t>,</w:t>
      </w:r>
      <w:r>
        <w:t xml:space="preserve"> в 2014 году - 275 </w:t>
      </w:r>
      <w:proofErr w:type="spellStart"/>
      <w:r>
        <w:t>тыс.дкл</w:t>
      </w:r>
      <w:proofErr w:type="spellEnd"/>
      <w:r>
        <w:t xml:space="preserve">., в 2015 году – 316 </w:t>
      </w:r>
      <w:proofErr w:type="spellStart"/>
      <w:r>
        <w:t>тыс.дкл</w:t>
      </w:r>
      <w:proofErr w:type="spellEnd"/>
      <w:r>
        <w:t xml:space="preserve">. Однако по информации Департамента потребительского рынка Администрации Томской области, предоставленной по запросу Контрольно-счетной палаты, </w:t>
      </w:r>
      <w:r w:rsidRPr="00D500F2">
        <w:t>объем</w:t>
      </w:r>
      <w:r w:rsidRPr="0010750D">
        <w:t xml:space="preserve"> </w:t>
      </w:r>
      <w:r w:rsidRPr="009745F7">
        <w:t>алкогольн</w:t>
      </w:r>
      <w:r>
        <w:t>ой</w:t>
      </w:r>
      <w:r w:rsidRPr="009745F7">
        <w:t xml:space="preserve"> продукци</w:t>
      </w:r>
      <w:r>
        <w:t>и</w:t>
      </w:r>
      <w:r w:rsidRPr="009745F7">
        <w:t xml:space="preserve"> с объемной долей этилового спирта свыше 9 процентов</w:t>
      </w:r>
      <w:r>
        <w:t xml:space="preserve">, произведенный томскими производителями, значительно ниже - в 2013 году составит 152 </w:t>
      </w:r>
      <w:proofErr w:type="spellStart"/>
      <w:r>
        <w:t>тыс</w:t>
      </w:r>
      <w:proofErr w:type="gramStart"/>
      <w:r>
        <w:t>.д</w:t>
      </w:r>
      <w:proofErr w:type="gramEnd"/>
      <w:r>
        <w:t>кл</w:t>
      </w:r>
      <w:proofErr w:type="spellEnd"/>
      <w:r>
        <w:t>.</w:t>
      </w:r>
      <w:r w:rsidRPr="00D500F2">
        <w:t>,</w:t>
      </w:r>
      <w:r>
        <w:t xml:space="preserve"> в 2014 году - 175 </w:t>
      </w:r>
      <w:proofErr w:type="spellStart"/>
      <w:r>
        <w:t>тыс.дкл</w:t>
      </w:r>
      <w:proofErr w:type="spellEnd"/>
      <w:r>
        <w:t xml:space="preserve">., в 2015 году – 216 </w:t>
      </w:r>
      <w:proofErr w:type="spellStart"/>
      <w:r>
        <w:t>тыс.дкл</w:t>
      </w:r>
      <w:proofErr w:type="spellEnd"/>
      <w:r>
        <w:t>.</w:t>
      </w:r>
    </w:p>
    <w:p w:rsidR="00C83EEA" w:rsidRDefault="00C83EEA" w:rsidP="00C83EEA">
      <w:pPr>
        <w:shd w:val="clear" w:color="auto" w:fill="FFFFFF"/>
        <w:ind w:firstLine="708"/>
        <w:jc w:val="both"/>
      </w:pPr>
      <w:r>
        <w:t xml:space="preserve">Соответственно </w:t>
      </w:r>
      <w:r w:rsidRPr="0010750D">
        <w:t xml:space="preserve">доходы от уплаты акцизов </w:t>
      </w:r>
      <w:r>
        <w:t>на алкогольную продукцию</w:t>
      </w:r>
      <w:r w:rsidRPr="0010750D">
        <w:t xml:space="preserve"> с объемной долей этилового спирта свыше 9 процентов</w:t>
      </w:r>
      <w:r>
        <w:t xml:space="preserve">, поступающие в доход Томской области, составят в 2013 году – 94 400 </w:t>
      </w:r>
      <w:proofErr w:type="spellStart"/>
      <w:r>
        <w:t>тыс</w:t>
      </w:r>
      <w:proofErr w:type="gramStart"/>
      <w:r>
        <w:t>.р</w:t>
      </w:r>
      <w:proofErr w:type="gramEnd"/>
      <w:r>
        <w:t>уб</w:t>
      </w:r>
      <w:proofErr w:type="spellEnd"/>
      <w:r>
        <w:t xml:space="preserve">. вместо планируемых 158 400 </w:t>
      </w:r>
      <w:proofErr w:type="spellStart"/>
      <w:r>
        <w:t>тыс.руб</w:t>
      </w:r>
      <w:proofErr w:type="spellEnd"/>
      <w:r>
        <w:t xml:space="preserve">., в 2014 году – 135 500 </w:t>
      </w:r>
      <w:proofErr w:type="spellStart"/>
      <w:r>
        <w:t>тыс.руб</w:t>
      </w:r>
      <w:proofErr w:type="spellEnd"/>
      <w:r>
        <w:t xml:space="preserve">. вместо 215 500 </w:t>
      </w:r>
      <w:proofErr w:type="spellStart"/>
      <w:r>
        <w:t>тыс.руб</w:t>
      </w:r>
      <w:proofErr w:type="spellEnd"/>
      <w:r>
        <w:t xml:space="preserve">., в 2015 году – 201 600 </w:t>
      </w:r>
      <w:proofErr w:type="spellStart"/>
      <w:r>
        <w:t>тыс.руб</w:t>
      </w:r>
      <w:proofErr w:type="spellEnd"/>
      <w:r>
        <w:t xml:space="preserve">. вместо 297 600 </w:t>
      </w:r>
      <w:proofErr w:type="spellStart"/>
      <w:r>
        <w:t>тыс.руб</w:t>
      </w:r>
      <w:proofErr w:type="spellEnd"/>
      <w:r>
        <w:t>.</w:t>
      </w:r>
    </w:p>
    <w:p w:rsidR="00C83EEA" w:rsidRPr="000B5C2E" w:rsidRDefault="00C83EEA" w:rsidP="00C83EEA">
      <w:pPr>
        <w:shd w:val="clear" w:color="auto" w:fill="FFFFFF"/>
        <w:ind w:firstLine="708"/>
        <w:jc w:val="both"/>
      </w:pPr>
      <w:proofErr w:type="gramStart"/>
      <w:r>
        <w:t xml:space="preserve">Доля </w:t>
      </w:r>
      <w:r w:rsidRPr="00F13AD7">
        <w:t xml:space="preserve">доходов от </w:t>
      </w:r>
      <w:r>
        <w:t xml:space="preserve">уплаты </w:t>
      </w:r>
      <w:r w:rsidRPr="00F13AD7">
        <w:t>акцизов на</w:t>
      </w:r>
      <w:r>
        <w:t xml:space="preserve"> нефтепродукты,</w:t>
      </w:r>
      <w:r w:rsidRPr="002F03E5">
        <w:t xml:space="preserve"> </w:t>
      </w:r>
      <w:r w:rsidRPr="000B5C2E">
        <w:t xml:space="preserve">подлежащих </w:t>
      </w:r>
      <w:r>
        <w:t>зачислению</w:t>
      </w:r>
      <w:r w:rsidRPr="000B5C2E">
        <w:t xml:space="preserve"> в бюджеты субъектов РФ, </w:t>
      </w:r>
      <w:r>
        <w:t xml:space="preserve">по сравнению с 2012 годом (77%) изменилась и </w:t>
      </w:r>
      <w:r w:rsidRPr="000B5C2E">
        <w:t>состав</w:t>
      </w:r>
      <w:r>
        <w:t>ит 72% от доходов от уплаты акцизов на автомобильный и прямогонный бензин, дизельное топливо, моторные масла для дизельных и (или) карбюраторных (</w:t>
      </w:r>
      <w:proofErr w:type="spellStart"/>
      <w:r>
        <w:t>инжекторных</w:t>
      </w:r>
      <w:proofErr w:type="spellEnd"/>
      <w:r>
        <w:t xml:space="preserve">) двигателей, в 2014 </w:t>
      </w:r>
      <w:r>
        <w:lastRenderedPageBreak/>
        <w:t>-2015 годах также составит 72%. Кроме того, н</w:t>
      </w:r>
      <w:r w:rsidRPr="00DA3B87">
        <w:t>а 201</w:t>
      </w:r>
      <w:r>
        <w:t xml:space="preserve">3-2015 </w:t>
      </w:r>
      <w:r w:rsidRPr="00DA3B87">
        <w:t>год</w:t>
      </w:r>
      <w:r>
        <w:t>ы</w:t>
      </w:r>
      <w:r w:rsidRPr="00DA3B87">
        <w:t xml:space="preserve"> измен</w:t>
      </w:r>
      <w:r>
        <w:t>ится</w:t>
      </w:r>
      <w:r w:rsidRPr="00DA3B87">
        <w:t xml:space="preserve"> норматив </w:t>
      </w:r>
      <w:r>
        <w:t xml:space="preserve">распределения </w:t>
      </w:r>
      <w:r w:rsidRPr="00DA3B87">
        <w:t>от</w:t>
      </w:r>
      <w:proofErr w:type="gramEnd"/>
      <w:r w:rsidRPr="00DA3B87">
        <w:t xml:space="preserve"> у</w:t>
      </w:r>
      <w:r w:rsidRPr="00DA3B87">
        <w:t>п</w:t>
      </w:r>
      <w:r w:rsidRPr="00DA3B87">
        <w:t>латы акцизов</w:t>
      </w:r>
      <w:r w:rsidRPr="009C342F">
        <w:t xml:space="preserve"> </w:t>
      </w:r>
      <w:r w:rsidRPr="000B5C2E">
        <w:t xml:space="preserve">на нефтепродукты </w:t>
      </w:r>
      <w:r w:rsidRPr="00DA3B87">
        <w:t xml:space="preserve">для Томской области </w:t>
      </w:r>
      <w:r>
        <w:t xml:space="preserve">с распределительного счета Федерального казначейства - с </w:t>
      </w:r>
      <w:r w:rsidRPr="000B5C2E">
        <w:t>0,</w:t>
      </w:r>
      <w:r>
        <w:t>6664</w:t>
      </w:r>
      <w:r w:rsidRPr="000B5C2E">
        <w:t xml:space="preserve">% в </w:t>
      </w:r>
      <w:r>
        <w:t>2012 году до</w:t>
      </w:r>
      <w:r w:rsidRPr="000B5C2E">
        <w:t xml:space="preserve"> </w:t>
      </w:r>
      <w:r>
        <w:t>0,6311</w:t>
      </w:r>
      <w:r w:rsidRPr="000B5C2E">
        <w:t>%</w:t>
      </w:r>
      <w:r>
        <w:t xml:space="preserve"> в </w:t>
      </w:r>
      <w:r w:rsidRPr="000B5C2E">
        <w:t>20</w:t>
      </w:r>
      <w:r>
        <w:t>13-2014</w:t>
      </w:r>
      <w:r w:rsidRPr="000B5C2E">
        <w:t xml:space="preserve"> год</w:t>
      </w:r>
      <w:r>
        <w:t>ах и до 0,6415 % в 2015 году.</w:t>
      </w:r>
    </w:p>
    <w:p w:rsidR="00C83EEA" w:rsidRDefault="00C83EEA" w:rsidP="00C83EEA">
      <w:pPr>
        <w:shd w:val="clear" w:color="auto" w:fill="FFFFFF"/>
        <w:ind w:firstLine="708"/>
        <w:jc w:val="both"/>
      </w:pPr>
      <w:r>
        <w:t>И</w:t>
      </w:r>
      <w:r w:rsidRPr="00F13AD7">
        <w:t>ндексаци</w:t>
      </w:r>
      <w:r>
        <w:t>я</w:t>
      </w:r>
      <w:r w:rsidRPr="00F13AD7">
        <w:t xml:space="preserve"> ставок акцизов на бензин и на другие нефтепродукты</w:t>
      </w:r>
      <w:r>
        <w:t xml:space="preserve"> в 2013-2015 годах составит:</w:t>
      </w:r>
    </w:p>
    <w:p w:rsidR="00C83EEA" w:rsidRDefault="00C83EEA" w:rsidP="00C83EEA">
      <w:pPr>
        <w:shd w:val="clear" w:color="auto" w:fill="FFFFFF"/>
        <w:ind w:firstLine="708"/>
        <w:jc w:val="both"/>
        <w:rPr>
          <w:spacing w:val="-5"/>
        </w:rPr>
      </w:pPr>
      <w:r>
        <w:rPr>
          <w:spacing w:val="-5"/>
        </w:rPr>
        <w:t>- в 2013 году на автомобильный бензин на 23,7% (3 класс), на дизельное топливо на 36,2% (3 класс), на моторные масла на 23,6%, на прямогонный бензин на 22,9%;</w:t>
      </w:r>
    </w:p>
    <w:p w:rsidR="00C83EEA" w:rsidRDefault="00C83EEA" w:rsidP="00C83EEA">
      <w:pPr>
        <w:shd w:val="clear" w:color="auto" w:fill="FFFFFF"/>
        <w:ind w:firstLine="708"/>
        <w:jc w:val="both"/>
        <w:rPr>
          <w:spacing w:val="-5"/>
        </w:rPr>
      </w:pPr>
      <w:r>
        <w:rPr>
          <w:spacing w:val="-5"/>
        </w:rPr>
        <w:t>- в 2014 году на все виды нефтепродуктов на 10 %;</w:t>
      </w:r>
    </w:p>
    <w:p w:rsidR="00C83EEA" w:rsidRDefault="00C83EEA" w:rsidP="00C83EEA">
      <w:pPr>
        <w:shd w:val="clear" w:color="auto" w:fill="FFFFFF"/>
        <w:ind w:firstLine="708"/>
        <w:jc w:val="both"/>
        <w:rPr>
          <w:spacing w:val="-5"/>
        </w:rPr>
      </w:pPr>
      <w:r>
        <w:rPr>
          <w:spacing w:val="-5"/>
        </w:rPr>
        <w:t>- в 2015 году на автомобильный бензин на 20,1%  (3 класс), на дизельное топливо на 19,9% (3 класс), на моторные масла на 10%, на прямогонный бензин на 19,9%.</w:t>
      </w:r>
    </w:p>
    <w:p w:rsidR="00C83EEA" w:rsidRPr="001E133F" w:rsidRDefault="00C83EEA" w:rsidP="00C83EEA">
      <w:pPr>
        <w:pStyle w:val="a3"/>
        <w:spacing w:after="0"/>
        <w:ind w:firstLine="708"/>
        <w:jc w:val="both"/>
      </w:pPr>
      <w:r>
        <w:t xml:space="preserve">Администрацией Томской области прогноз доходов по акцизам рассчитан с учетом действующей редакции главы 22 Налогового кодекса Российской Федерации и Основных направлений налоговой политики на 2013 год и плановый период 2014 и 2015 годов. Однако в расчете не учтены положения </w:t>
      </w:r>
      <w:r w:rsidRPr="009745F7">
        <w:t>проект</w:t>
      </w:r>
      <w:r>
        <w:t>а</w:t>
      </w:r>
      <w:r w:rsidRPr="009745F7">
        <w:t xml:space="preserve"> федерального закона «О внесении изменений в </w:t>
      </w:r>
      <w:r>
        <w:t>статью</w:t>
      </w:r>
      <w:r w:rsidRPr="009745F7">
        <w:t xml:space="preserve"> </w:t>
      </w:r>
      <w:r>
        <w:t>193</w:t>
      </w:r>
      <w:r w:rsidRPr="009745F7">
        <w:t xml:space="preserve"> части второй Налогового кодекса РФ»</w:t>
      </w:r>
      <w:r>
        <w:t xml:space="preserve"> и проекта федерального закона </w:t>
      </w:r>
      <w:r w:rsidRPr="001E133F">
        <w:t xml:space="preserve">«О федеральном бюджете на 2013 год и на  плановый период 2014 и 2015 годов». </w:t>
      </w:r>
    </w:p>
    <w:p w:rsidR="00C83EEA" w:rsidRDefault="00C83EEA" w:rsidP="00C83EEA">
      <w:pPr>
        <w:pStyle w:val="a3"/>
        <w:spacing w:after="0"/>
        <w:ind w:firstLine="708"/>
        <w:jc w:val="both"/>
      </w:pPr>
      <w:r>
        <w:t xml:space="preserve">Расчет, произведенный Контрольно-счетной палатой с учетом указанных законопроектов, показал, что прогнозируемые доходы от уплаты акцизов на нефтепродукты в 2013 могут быть увеличены на 108,2 </w:t>
      </w:r>
      <w:proofErr w:type="spellStart"/>
      <w:r>
        <w:t>млн</w:t>
      </w:r>
      <w:proofErr w:type="gramStart"/>
      <w:r>
        <w:t>.р</w:t>
      </w:r>
      <w:proofErr w:type="gramEnd"/>
      <w:r>
        <w:t>уб</w:t>
      </w:r>
      <w:proofErr w:type="spellEnd"/>
      <w:r>
        <w:t xml:space="preserve">., в 2014 году на 113,3 </w:t>
      </w:r>
      <w:proofErr w:type="spellStart"/>
      <w:r>
        <w:t>млн.руб</w:t>
      </w:r>
      <w:proofErr w:type="spellEnd"/>
      <w:r>
        <w:t xml:space="preserve">., в 2015 году на 457,6 </w:t>
      </w:r>
      <w:proofErr w:type="spellStart"/>
      <w:r>
        <w:t>млн.руб</w:t>
      </w:r>
      <w:proofErr w:type="spellEnd"/>
      <w:r>
        <w:t xml:space="preserve">.,  а доходы от уплаты акцизов на пиво в 2015 году уменьшены на  340 </w:t>
      </w:r>
      <w:proofErr w:type="spellStart"/>
      <w:r>
        <w:t>млн.руб</w:t>
      </w:r>
      <w:proofErr w:type="spellEnd"/>
      <w:r>
        <w:t xml:space="preserve">.  </w:t>
      </w:r>
    </w:p>
    <w:p w:rsidR="00C83EEA" w:rsidRDefault="00C83EEA" w:rsidP="00C83EEA">
      <w:pPr>
        <w:pStyle w:val="a3"/>
        <w:spacing w:after="0"/>
        <w:ind w:firstLine="708"/>
        <w:jc w:val="both"/>
      </w:pPr>
      <w:r>
        <w:t>Исходя из изложенного, прогноз поступлений в 2013-2015 годах в доход областного бюджета акцизов по подакцизным товарам (продукции), производимым на территории Российской Федерации,  подлежит корректировке.</w:t>
      </w:r>
    </w:p>
    <w:p w:rsidR="00C83EEA" w:rsidRDefault="00C83EEA" w:rsidP="00C83EEA">
      <w:pPr>
        <w:pStyle w:val="a3"/>
        <w:spacing w:after="0"/>
        <w:ind w:firstLine="708"/>
        <w:jc w:val="both"/>
      </w:pPr>
    </w:p>
    <w:p w:rsidR="00C83EEA" w:rsidRPr="00EB6DDB" w:rsidRDefault="00C83EEA" w:rsidP="00C83EEA">
      <w:pPr>
        <w:tabs>
          <w:tab w:val="left" w:pos="1185"/>
        </w:tabs>
        <w:rPr>
          <w:b/>
        </w:rPr>
      </w:pPr>
      <w:r>
        <w:rPr>
          <w:b/>
        </w:rPr>
        <w:t xml:space="preserve">5.4 </w:t>
      </w:r>
      <w:r w:rsidRPr="00EB6DDB">
        <w:rPr>
          <w:b/>
        </w:rPr>
        <w:t>Налог на имущество организаций</w:t>
      </w:r>
      <w:r>
        <w:rPr>
          <w:b/>
        </w:rPr>
        <w:t>.</w:t>
      </w:r>
    </w:p>
    <w:p w:rsidR="00C83EEA" w:rsidRDefault="00C83EEA" w:rsidP="00C83EEA">
      <w:pPr>
        <w:tabs>
          <w:tab w:val="left" w:pos="720"/>
        </w:tabs>
        <w:jc w:val="both"/>
      </w:pPr>
      <w:r>
        <w:tab/>
        <w:t xml:space="preserve">Ожидаемое исполнение областного бюджета в 2012 году по налогу на имущество организаций по оценке Администрации составит 4 903,8 </w:t>
      </w:r>
      <w:proofErr w:type="spellStart"/>
      <w:r>
        <w:t>млн</w:t>
      </w:r>
      <w:proofErr w:type="gramStart"/>
      <w:r>
        <w:t>.р</w:t>
      </w:r>
      <w:proofErr w:type="gramEnd"/>
      <w:r>
        <w:t>уб</w:t>
      </w:r>
      <w:proofErr w:type="spellEnd"/>
      <w:r>
        <w:t>., темп роста к уровню  2011 года – 117,8%, в сопоставимых ценах – 111,6%.</w:t>
      </w:r>
    </w:p>
    <w:p w:rsidR="00C83EEA" w:rsidRDefault="00C83EEA" w:rsidP="00C83EEA">
      <w:pPr>
        <w:spacing w:line="25" w:lineRule="atLeast"/>
        <w:ind w:firstLine="708"/>
        <w:jc w:val="both"/>
      </w:pPr>
      <w:r>
        <w:t>В материалах и документах к законопроекту поступление налога на имущество организаций в областной бюджет прогнозируется в следующих объемах:</w:t>
      </w:r>
    </w:p>
    <w:p w:rsidR="00C83EEA" w:rsidRDefault="00C83EEA" w:rsidP="00C83EEA">
      <w:pPr>
        <w:spacing w:line="25" w:lineRule="atLeast"/>
        <w:jc w:val="both"/>
      </w:pPr>
      <w:r>
        <w:t xml:space="preserve">- 6 052,1 </w:t>
      </w:r>
      <w:proofErr w:type="spellStart"/>
      <w:r>
        <w:t>млн</w:t>
      </w:r>
      <w:proofErr w:type="gramStart"/>
      <w:r>
        <w:t>.р</w:t>
      </w:r>
      <w:proofErr w:type="gramEnd"/>
      <w:r>
        <w:t>уб</w:t>
      </w:r>
      <w:proofErr w:type="spellEnd"/>
      <w:r>
        <w:t>. в 2013 году, с темпом роста 123,4%, в сопоставимых ценах – 115,9%;</w:t>
      </w:r>
    </w:p>
    <w:p w:rsidR="00C83EEA" w:rsidRDefault="00C83EEA" w:rsidP="00C83EEA">
      <w:pPr>
        <w:spacing w:line="25" w:lineRule="atLeast"/>
        <w:jc w:val="both"/>
      </w:pPr>
      <w:r>
        <w:t xml:space="preserve">- 7 265,4 </w:t>
      </w:r>
      <w:proofErr w:type="spellStart"/>
      <w:r>
        <w:t>млн</w:t>
      </w:r>
      <w:proofErr w:type="gramStart"/>
      <w:r>
        <w:t>.р</w:t>
      </w:r>
      <w:proofErr w:type="gramEnd"/>
      <w:r>
        <w:t>уб</w:t>
      </w:r>
      <w:proofErr w:type="spellEnd"/>
      <w:r>
        <w:t>. в 2014 году, с темпом роста 120,0%, в сопоставимых ценах – 113,6%;</w:t>
      </w:r>
    </w:p>
    <w:p w:rsidR="00C83EEA" w:rsidRDefault="00C83EEA" w:rsidP="00C83EEA">
      <w:pPr>
        <w:tabs>
          <w:tab w:val="left" w:pos="720"/>
        </w:tabs>
        <w:jc w:val="both"/>
      </w:pPr>
      <w:r>
        <w:t xml:space="preserve">- 8 598,4 </w:t>
      </w:r>
      <w:proofErr w:type="spellStart"/>
      <w:r>
        <w:t>млн</w:t>
      </w:r>
      <w:proofErr w:type="gramStart"/>
      <w:r>
        <w:t>.р</w:t>
      </w:r>
      <w:proofErr w:type="gramEnd"/>
      <w:r>
        <w:t>уб</w:t>
      </w:r>
      <w:proofErr w:type="spellEnd"/>
      <w:r>
        <w:t>. в 2015 году, с темпом роста 118,3%, в сопоставимых ценах – 112,7%.</w:t>
      </w:r>
    </w:p>
    <w:p w:rsidR="00C83EEA" w:rsidRDefault="00C83EEA" w:rsidP="00C83EEA">
      <w:pPr>
        <w:tabs>
          <w:tab w:val="left" w:pos="720"/>
        </w:tabs>
        <w:jc w:val="both"/>
      </w:pPr>
      <w:r>
        <w:tab/>
        <w:t>Доля налога на имущество в объеме собственных доходов областного бюджета в 2012 году прогнозируется Администрацией в размере 15,6% с увеличением в 2013-2015 годах до 16,6-18,5%.</w:t>
      </w:r>
    </w:p>
    <w:p w:rsidR="00C83EEA" w:rsidRPr="00C32EE7" w:rsidRDefault="00C83EEA" w:rsidP="00C83EEA">
      <w:pPr>
        <w:tabs>
          <w:tab w:val="left" w:pos="720"/>
        </w:tabs>
        <w:jc w:val="both"/>
      </w:pPr>
      <w:r>
        <w:tab/>
      </w:r>
      <w:r>
        <w:tab/>
      </w:r>
      <w:r>
        <w:rPr>
          <w:noProof/>
        </w:rPr>
        <w:drawing>
          <wp:inline distT="0" distB="0" distL="0" distR="0">
            <wp:extent cx="4371975" cy="22193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371975" cy="2219325"/>
                    </a:xfrm>
                    <a:prstGeom prst="rect">
                      <a:avLst/>
                    </a:prstGeom>
                    <a:noFill/>
                    <a:ln>
                      <a:noFill/>
                    </a:ln>
                  </pic:spPr>
                </pic:pic>
              </a:graphicData>
            </a:graphic>
          </wp:inline>
        </w:drawing>
      </w:r>
    </w:p>
    <w:p w:rsidR="00C83EEA" w:rsidRPr="003D70F7" w:rsidRDefault="00C83EEA" w:rsidP="00C83EEA">
      <w:pPr>
        <w:tabs>
          <w:tab w:val="left" w:pos="720"/>
        </w:tabs>
        <w:jc w:val="both"/>
      </w:pPr>
      <w:r>
        <w:tab/>
        <w:t xml:space="preserve">Расчет прогноза поступлений налога на имущество организаций на 2012-2014 годы произведен Администрацией на основании отчета УФНС России по Томской области о </w:t>
      </w:r>
      <w:r>
        <w:lastRenderedPageBreak/>
        <w:t>налогооблагаемой базе за 2010 год, данным прогноза социально-экономического развития области о суммах инвестиций в основной капитал и стоимости ликвидированных основных средств за год. В расчете также учтено снижение стоимости налогооблагаемого имущества в результате начисления амортизации, а также предоставление льгот отдельным категориям налогоплательщиков.</w:t>
      </w:r>
    </w:p>
    <w:p w:rsidR="00C83EEA" w:rsidRDefault="00C83EEA" w:rsidP="00C83EEA">
      <w:pPr>
        <w:tabs>
          <w:tab w:val="left" w:pos="720"/>
        </w:tabs>
        <w:jc w:val="both"/>
      </w:pPr>
      <w:r>
        <w:tab/>
        <w:t>Контрольно-счетной палатой проведен анализ критериев и факторов, оказывающих влияние на формирование прогнозных значений поступления налога на имущество организаций на 2013-2015 годы.</w:t>
      </w:r>
    </w:p>
    <w:p w:rsidR="00C83EEA" w:rsidRDefault="00C83EEA" w:rsidP="00C83EEA">
      <w:pPr>
        <w:tabs>
          <w:tab w:val="left" w:pos="720"/>
        </w:tabs>
        <w:jc w:val="both"/>
      </w:pPr>
      <w:r>
        <w:tab/>
        <w:t xml:space="preserve">При прогнозе инвестиций в основной капитал в 2012 году в сумме 112 609,0 </w:t>
      </w:r>
      <w:proofErr w:type="spellStart"/>
      <w:r>
        <w:t>млн</w:t>
      </w:r>
      <w:proofErr w:type="gramStart"/>
      <w:r>
        <w:t>.р</w:t>
      </w:r>
      <w:proofErr w:type="gramEnd"/>
      <w:r>
        <w:t>уб</w:t>
      </w:r>
      <w:proofErr w:type="spellEnd"/>
      <w:r>
        <w:t xml:space="preserve">. за 1 полугодие инвестиции составили 45 527,6 </w:t>
      </w:r>
      <w:proofErr w:type="spellStart"/>
      <w:r>
        <w:t>млн.руб</w:t>
      </w:r>
      <w:proofErr w:type="spellEnd"/>
      <w:r>
        <w:t>. или 40,4% к прогнозируемому уровню. Наибольшее влияние на рост объема капитальных вложений в 1 полугодии оказала динамика инвестиций в обрабатывающее производство, что соответствует общероссийскому тренду развития сферы «обрабатывающее производство». При этом до конца года по информации Администрации планируется увеличение объема инвестиций благодаря реализации ряда проектов в организациях энергетической и обрабатывающей отраслей, сельском хозяйстве и здравоохранении.</w:t>
      </w:r>
    </w:p>
    <w:p w:rsidR="00C83EEA" w:rsidRDefault="00C83EEA" w:rsidP="00C83EEA">
      <w:pPr>
        <w:tabs>
          <w:tab w:val="left" w:pos="720"/>
        </w:tabs>
        <w:jc w:val="both"/>
      </w:pPr>
      <w:r>
        <w:tab/>
      </w:r>
      <w:r w:rsidRPr="00996C9B">
        <w:t xml:space="preserve">В представленных материалах </w:t>
      </w:r>
      <w:proofErr w:type="gramStart"/>
      <w:r w:rsidRPr="00996C9B">
        <w:t>динамика темпов роста объемов поступлений налога</w:t>
      </w:r>
      <w:proofErr w:type="gramEnd"/>
      <w:r w:rsidRPr="00996C9B">
        <w:t xml:space="preserve"> на имущество организаций</w:t>
      </w:r>
      <w:r>
        <w:t xml:space="preserve"> и налоговой базы для формирования налоговых начислений имеют </w:t>
      </w:r>
      <w:r w:rsidRPr="00996C9B">
        <w:t>общий тренд развития</w:t>
      </w:r>
      <w:r>
        <w:t>, в то время как темп роста инвестиций в 2011 году имеет достаточно высокое значение, обусловленное инвестиционной активностью в области и эффектом низкой базы.</w:t>
      </w:r>
    </w:p>
    <w:p w:rsidR="00C83EEA" w:rsidRDefault="00C83EEA" w:rsidP="00C83EEA">
      <w:pPr>
        <w:tabs>
          <w:tab w:val="left" w:pos="720"/>
        </w:tabs>
        <w:jc w:val="both"/>
      </w:pPr>
      <w:r>
        <w:tab/>
        <w:t xml:space="preserve">Необходимо отметить очень осторожный подход Администрации к прогнозированию объемов инвестиций в основной капитал на 2013-2015 годы, что, возможно, обусловлено отсутствием программных перспектив прогнозирования на среднесрочный период, в частности отсутствием разработанной и утвержденной Программы социально-экономического развития Томской области. При этом прогноз умеренного роста (102,8-104,6%) инвестиций в основной капитал (до 152 843,4 </w:t>
      </w:r>
      <w:proofErr w:type="spellStart"/>
      <w:r>
        <w:t>млн</w:t>
      </w:r>
      <w:proofErr w:type="gramStart"/>
      <w:r>
        <w:t>.р</w:t>
      </w:r>
      <w:proofErr w:type="gramEnd"/>
      <w:r>
        <w:t>уб</w:t>
      </w:r>
      <w:proofErr w:type="spellEnd"/>
      <w:r>
        <w:t>.) предполагает, но возможно не учитывает реализацию до 2015 года ряда крупных проектов на территории области и связанное с этим увеличение объема инвестиций. Наибольший объем капвложений планируется в топливно-энергетическом комплексе и в секторе обрабатывающих производств.</w:t>
      </w:r>
    </w:p>
    <w:p w:rsidR="00C83EEA" w:rsidRPr="009F6688" w:rsidRDefault="00C83EEA" w:rsidP="00C83EEA">
      <w:pPr>
        <w:tabs>
          <w:tab w:val="left" w:pos="720"/>
        </w:tabs>
        <w:jc w:val="both"/>
      </w:pPr>
      <w:r>
        <w:tab/>
      </w:r>
      <w:proofErr w:type="gramStart"/>
      <w:r>
        <w:t xml:space="preserve">Прогноз по приросту инвестиций на 2013-2015 годы представлен в размере значительно меньшем, чем прирост </w:t>
      </w:r>
      <w:r w:rsidRPr="00112E19">
        <w:t>налоговой базы и налог</w:t>
      </w:r>
      <w:r>
        <w:t>а</w:t>
      </w:r>
      <w:r w:rsidRPr="00112E19">
        <w:t xml:space="preserve"> на имущество организаций</w:t>
      </w:r>
      <w:r>
        <w:t xml:space="preserve"> за аналогичные периоды, </w:t>
      </w:r>
      <w:r w:rsidRPr="00112E19">
        <w:t xml:space="preserve">хотя результаты </w:t>
      </w:r>
      <w:r>
        <w:t xml:space="preserve">инвестиционной активности </w:t>
      </w:r>
      <w:r w:rsidRPr="00112E19">
        <w:t xml:space="preserve">по итогам 2011 года </w:t>
      </w:r>
      <w:r>
        <w:t xml:space="preserve">и положительное сальдо денежного потока в основной капитал </w:t>
      </w:r>
      <w:r w:rsidRPr="00112E19">
        <w:t>позволяют оценивать рост налоговой базы и налоговых отчислений по налогу на имущество организаций более оптимистично.</w:t>
      </w:r>
      <w:proofErr w:type="gramEnd"/>
      <w:r>
        <w:t xml:space="preserve"> </w:t>
      </w:r>
      <w:r w:rsidRPr="009F6688">
        <w:t xml:space="preserve">В целом следует отметить, что прогнозы темпов роста инвестиций на среднесрочную перспективу по-прежнему  </w:t>
      </w:r>
      <w:r>
        <w:t xml:space="preserve">прогнозируются </w:t>
      </w:r>
      <w:r w:rsidRPr="009F6688">
        <w:t>ниже общероссийского уровня (107,2-107,9%).</w:t>
      </w:r>
    </w:p>
    <w:p w:rsidR="00C83EEA" w:rsidRPr="001F56CF" w:rsidRDefault="00C83EEA" w:rsidP="00C83EEA">
      <w:pPr>
        <w:tabs>
          <w:tab w:val="left" w:pos="720"/>
        </w:tabs>
        <w:jc w:val="both"/>
      </w:pPr>
      <w:r>
        <w:lastRenderedPageBreak/>
        <w:tab/>
      </w:r>
      <w:r>
        <w:rPr>
          <w:noProof/>
        </w:rPr>
        <w:drawing>
          <wp:inline distT="0" distB="0" distL="0" distR="0">
            <wp:extent cx="5257800" cy="29622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257800" cy="2962275"/>
                    </a:xfrm>
                    <a:prstGeom prst="rect">
                      <a:avLst/>
                    </a:prstGeom>
                    <a:noFill/>
                    <a:ln>
                      <a:noFill/>
                    </a:ln>
                  </pic:spPr>
                </pic:pic>
              </a:graphicData>
            </a:graphic>
          </wp:inline>
        </w:drawing>
      </w:r>
    </w:p>
    <w:p w:rsidR="00C83EEA" w:rsidRPr="006C4149" w:rsidRDefault="00C83EEA" w:rsidP="00C83EEA">
      <w:pPr>
        <w:jc w:val="both"/>
      </w:pPr>
    </w:p>
    <w:p w:rsidR="00C83EEA" w:rsidRDefault="00C83EEA" w:rsidP="00C83EEA">
      <w:pPr>
        <w:tabs>
          <w:tab w:val="left" w:pos="720"/>
        </w:tabs>
        <w:jc w:val="both"/>
        <w:rPr>
          <w:b/>
        </w:rPr>
      </w:pPr>
      <w:r>
        <w:tab/>
        <w:t xml:space="preserve">Таким образом, ожидаемое исполнение по налогу на имущество в 2012 году по расчетам Контрольно-счетной палаты может превысить ожидаемое исполнение по оценке Администрации, и, с учетом применения темпов роста налога на имущество, предложенных Администрацией, </w:t>
      </w:r>
      <w:r w:rsidRPr="00E95598">
        <w:rPr>
          <w:b/>
        </w:rPr>
        <w:t xml:space="preserve">прогнозные объемы поступлений </w:t>
      </w:r>
      <w:r>
        <w:rPr>
          <w:b/>
        </w:rPr>
        <w:t>могут быть скорректированы в сторону увеличения.</w:t>
      </w:r>
    </w:p>
    <w:p w:rsidR="00C83EEA" w:rsidRDefault="00C83EEA" w:rsidP="00C83EEA"/>
    <w:p w:rsidR="00C83EEA" w:rsidRPr="00624AC9" w:rsidRDefault="00C83EEA" w:rsidP="00C83EEA">
      <w:pPr>
        <w:pStyle w:val="a3"/>
        <w:spacing w:after="0"/>
        <w:jc w:val="both"/>
        <w:rPr>
          <w:b/>
        </w:rPr>
      </w:pPr>
      <w:r w:rsidRPr="00624AC9">
        <w:rPr>
          <w:b/>
        </w:rPr>
        <w:t>5.5 Доходы от использования имущества, находящегося в государственной и муниц</w:t>
      </w:r>
      <w:r w:rsidRPr="00624AC9">
        <w:rPr>
          <w:b/>
        </w:rPr>
        <w:t>и</w:t>
      </w:r>
      <w:r w:rsidRPr="00624AC9">
        <w:rPr>
          <w:b/>
        </w:rPr>
        <w:t>пальной собственности.</w:t>
      </w:r>
    </w:p>
    <w:p w:rsidR="00C83EEA" w:rsidRPr="004F3AA7" w:rsidRDefault="00C83EEA" w:rsidP="00C83EEA">
      <w:pPr>
        <w:tabs>
          <w:tab w:val="left" w:pos="720"/>
        </w:tabs>
        <w:autoSpaceDE w:val="0"/>
        <w:autoSpaceDN w:val="0"/>
        <w:adjustRightInd w:val="0"/>
        <w:jc w:val="both"/>
      </w:pPr>
      <w:r w:rsidRPr="001662C2">
        <w:tab/>
        <w:t xml:space="preserve">Динамика </w:t>
      </w:r>
      <w:r>
        <w:t>планируемых на</w:t>
      </w:r>
      <w:r w:rsidRPr="001662C2">
        <w:t xml:space="preserve"> 2013-2015</w:t>
      </w:r>
      <w:r>
        <w:t xml:space="preserve"> годы </w:t>
      </w:r>
      <w:r w:rsidRPr="001662C2">
        <w:t>доходов областного бюджета от использования имущества, находящегося в государственной и муниципальной собственн</w:t>
      </w:r>
      <w:r w:rsidRPr="001662C2">
        <w:t>о</w:t>
      </w:r>
      <w:r w:rsidRPr="001662C2">
        <w:t>сти</w:t>
      </w:r>
      <w:r w:rsidRPr="001662C2">
        <w:rPr>
          <w:sz w:val="18"/>
          <w:szCs w:val="18"/>
        </w:rPr>
        <w:t xml:space="preserve"> (</w:t>
      </w:r>
      <w:r w:rsidRPr="001662C2">
        <w:t>без учета процентов по бюджетным кредитам и доходов от эксплуатации и использ</w:t>
      </w:r>
      <w:r w:rsidRPr="001662C2">
        <w:t>о</w:t>
      </w:r>
      <w:r w:rsidRPr="001662C2">
        <w:t xml:space="preserve">вания </w:t>
      </w:r>
      <w:proofErr w:type="gramStart"/>
      <w:r w:rsidRPr="001662C2">
        <w:t>имущества</w:t>
      </w:r>
      <w:proofErr w:type="gramEnd"/>
      <w:r w:rsidRPr="001662C2">
        <w:t xml:space="preserve"> автомобиль</w:t>
      </w:r>
      <w:r>
        <w:t>ных дорог), приведена в таблице 3</w:t>
      </w:r>
      <w:r w:rsidRPr="00BD3B6D">
        <w:t xml:space="preserve">. </w:t>
      </w:r>
      <w:r w:rsidRPr="00004FF1">
        <w:t>Доля указанных доходов в общем объеме налоговых и неналоговых доходов областного бюджета по ожидаемой оценке за 2012 год составляет 0,53%, в планируемом п</w:t>
      </w:r>
      <w:r w:rsidRPr="00004FF1">
        <w:t>е</w:t>
      </w:r>
      <w:r w:rsidRPr="00004FF1">
        <w:t>риоде снижается с 0,49% до 0,41%.</w:t>
      </w:r>
    </w:p>
    <w:p w:rsidR="00C83EEA" w:rsidRPr="00004FF1" w:rsidRDefault="00C83EEA" w:rsidP="00C83EEA">
      <w:pPr>
        <w:tabs>
          <w:tab w:val="left" w:pos="720"/>
        </w:tabs>
        <w:autoSpaceDE w:val="0"/>
        <w:autoSpaceDN w:val="0"/>
        <w:adjustRightInd w:val="0"/>
        <w:jc w:val="right"/>
      </w:pPr>
      <w:r>
        <w:t xml:space="preserve">Таблица 3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5760"/>
        <w:gridCol w:w="1080"/>
        <w:gridCol w:w="1260"/>
        <w:gridCol w:w="1003"/>
      </w:tblGrid>
      <w:tr w:rsidR="00C83EEA" w:rsidRPr="00B20B70" w:rsidTr="009F24E6">
        <w:tc>
          <w:tcPr>
            <w:tcW w:w="468" w:type="dxa"/>
            <w:shd w:val="clear" w:color="auto" w:fill="auto"/>
          </w:tcPr>
          <w:p w:rsidR="00C83EEA" w:rsidRPr="00B20B70" w:rsidRDefault="00C83EEA" w:rsidP="009F24E6">
            <w:pPr>
              <w:tabs>
                <w:tab w:val="left" w:pos="720"/>
              </w:tabs>
              <w:autoSpaceDE w:val="0"/>
              <w:autoSpaceDN w:val="0"/>
              <w:adjustRightInd w:val="0"/>
              <w:jc w:val="both"/>
              <w:rPr>
                <w:lang w:val="en-US"/>
              </w:rPr>
            </w:pPr>
          </w:p>
        </w:tc>
        <w:tc>
          <w:tcPr>
            <w:tcW w:w="5760" w:type="dxa"/>
            <w:shd w:val="clear" w:color="auto" w:fill="auto"/>
          </w:tcPr>
          <w:p w:rsidR="00C83EEA" w:rsidRPr="00B20B70" w:rsidRDefault="00C83EEA" w:rsidP="009F24E6">
            <w:pPr>
              <w:tabs>
                <w:tab w:val="left" w:pos="720"/>
              </w:tabs>
              <w:autoSpaceDE w:val="0"/>
              <w:autoSpaceDN w:val="0"/>
              <w:adjustRightInd w:val="0"/>
              <w:jc w:val="center"/>
              <w:rPr>
                <w:sz w:val="20"/>
                <w:szCs w:val="20"/>
              </w:rPr>
            </w:pPr>
            <w:r w:rsidRPr="00B20B70">
              <w:rPr>
                <w:sz w:val="20"/>
                <w:szCs w:val="20"/>
              </w:rPr>
              <w:t>показатели</w:t>
            </w:r>
          </w:p>
        </w:tc>
        <w:tc>
          <w:tcPr>
            <w:tcW w:w="1080" w:type="dxa"/>
            <w:shd w:val="clear" w:color="auto" w:fill="auto"/>
          </w:tcPr>
          <w:p w:rsidR="00C83EEA" w:rsidRPr="00B20B70" w:rsidRDefault="00C83EEA" w:rsidP="009F24E6">
            <w:pPr>
              <w:tabs>
                <w:tab w:val="left" w:pos="720"/>
              </w:tabs>
              <w:autoSpaceDE w:val="0"/>
              <w:autoSpaceDN w:val="0"/>
              <w:adjustRightInd w:val="0"/>
              <w:jc w:val="center"/>
              <w:rPr>
                <w:sz w:val="20"/>
                <w:szCs w:val="20"/>
              </w:rPr>
            </w:pPr>
            <w:r w:rsidRPr="00B20B70">
              <w:rPr>
                <w:sz w:val="20"/>
                <w:szCs w:val="20"/>
              </w:rPr>
              <w:t>2013 год</w:t>
            </w:r>
          </w:p>
        </w:tc>
        <w:tc>
          <w:tcPr>
            <w:tcW w:w="1260" w:type="dxa"/>
            <w:shd w:val="clear" w:color="auto" w:fill="auto"/>
          </w:tcPr>
          <w:p w:rsidR="00C83EEA" w:rsidRPr="00B20B70" w:rsidRDefault="00C83EEA" w:rsidP="009F24E6">
            <w:pPr>
              <w:tabs>
                <w:tab w:val="left" w:pos="720"/>
              </w:tabs>
              <w:autoSpaceDE w:val="0"/>
              <w:autoSpaceDN w:val="0"/>
              <w:adjustRightInd w:val="0"/>
              <w:jc w:val="center"/>
              <w:rPr>
                <w:sz w:val="20"/>
                <w:szCs w:val="20"/>
              </w:rPr>
            </w:pPr>
            <w:r w:rsidRPr="00B20B70">
              <w:rPr>
                <w:sz w:val="20"/>
                <w:szCs w:val="20"/>
              </w:rPr>
              <w:t>2014 год</w:t>
            </w:r>
          </w:p>
        </w:tc>
        <w:tc>
          <w:tcPr>
            <w:tcW w:w="1003" w:type="dxa"/>
            <w:shd w:val="clear" w:color="auto" w:fill="auto"/>
          </w:tcPr>
          <w:p w:rsidR="00C83EEA" w:rsidRPr="00B20B70" w:rsidRDefault="00C83EEA" w:rsidP="009F24E6">
            <w:pPr>
              <w:tabs>
                <w:tab w:val="left" w:pos="720"/>
              </w:tabs>
              <w:autoSpaceDE w:val="0"/>
              <w:autoSpaceDN w:val="0"/>
              <w:adjustRightInd w:val="0"/>
              <w:jc w:val="center"/>
              <w:rPr>
                <w:sz w:val="20"/>
                <w:szCs w:val="20"/>
              </w:rPr>
            </w:pPr>
            <w:r w:rsidRPr="00B20B70">
              <w:rPr>
                <w:sz w:val="20"/>
                <w:szCs w:val="20"/>
              </w:rPr>
              <w:t>2015 год</w:t>
            </w:r>
          </w:p>
        </w:tc>
      </w:tr>
      <w:tr w:rsidR="00C83EEA" w:rsidRPr="00B20B70" w:rsidTr="009F24E6">
        <w:tc>
          <w:tcPr>
            <w:tcW w:w="468" w:type="dxa"/>
            <w:shd w:val="clear" w:color="auto" w:fill="auto"/>
          </w:tcPr>
          <w:p w:rsidR="00C83EEA" w:rsidRPr="00B20B70" w:rsidRDefault="00C83EEA" w:rsidP="009F24E6">
            <w:pPr>
              <w:tabs>
                <w:tab w:val="left" w:pos="720"/>
              </w:tabs>
              <w:autoSpaceDE w:val="0"/>
              <w:autoSpaceDN w:val="0"/>
              <w:adjustRightInd w:val="0"/>
              <w:jc w:val="center"/>
              <w:rPr>
                <w:b/>
                <w:sz w:val="20"/>
                <w:szCs w:val="20"/>
              </w:rPr>
            </w:pPr>
            <w:r w:rsidRPr="00B20B70">
              <w:rPr>
                <w:b/>
                <w:sz w:val="20"/>
                <w:szCs w:val="20"/>
              </w:rPr>
              <w:t>1.</w:t>
            </w:r>
          </w:p>
        </w:tc>
        <w:tc>
          <w:tcPr>
            <w:tcW w:w="5760" w:type="dxa"/>
            <w:shd w:val="clear" w:color="auto" w:fill="auto"/>
          </w:tcPr>
          <w:p w:rsidR="00C83EEA" w:rsidRPr="00B20B70" w:rsidRDefault="00C83EEA" w:rsidP="009F24E6">
            <w:pPr>
              <w:tabs>
                <w:tab w:val="left" w:pos="720"/>
              </w:tabs>
              <w:autoSpaceDE w:val="0"/>
              <w:autoSpaceDN w:val="0"/>
              <w:adjustRightInd w:val="0"/>
              <w:jc w:val="both"/>
              <w:rPr>
                <w:b/>
                <w:sz w:val="20"/>
                <w:szCs w:val="20"/>
              </w:rPr>
            </w:pPr>
            <w:r w:rsidRPr="00B20B70">
              <w:rPr>
                <w:b/>
                <w:sz w:val="20"/>
                <w:szCs w:val="20"/>
              </w:rPr>
              <w:t>Законопроект (2013-</w:t>
            </w:r>
            <w:smartTag w:uri="urn:schemas-microsoft-com:office:smarttags" w:element="metricconverter">
              <w:smartTagPr>
                <w:attr w:name="ProductID" w:val="2015 г"/>
              </w:smartTagPr>
              <w:r w:rsidRPr="00B20B70">
                <w:rPr>
                  <w:b/>
                  <w:sz w:val="20"/>
                  <w:szCs w:val="20"/>
                </w:rPr>
                <w:t xml:space="preserve">2015 </w:t>
              </w:r>
              <w:proofErr w:type="spellStart"/>
              <w:r w:rsidRPr="00B20B70">
                <w:rPr>
                  <w:b/>
                  <w:sz w:val="20"/>
                  <w:szCs w:val="20"/>
                </w:rPr>
                <w:t>г</w:t>
              </w:r>
            </w:smartTag>
            <w:r w:rsidRPr="00B20B70">
              <w:rPr>
                <w:b/>
                <w:sz w:val="20"/>
                <w:szCs w:val="20"/>
              </w:rPr>
              <w:t>.г</w:t>
            </w:r>
            <w:proofErr w:type="spellEnd"/>
            <w:r w:rsidRPr="00B20B70">
              <w:rPr>
                <w:b/>
                <w:sz w:val="20"/>
                <w:szCs w:val="20"/>
              </w:rPr>
              <w:t>.), тыс. руб.</w:t>
            </w:r>
          </w:p>
        </w:tc>
        <w:tc>
          <w:tcPr>
            <w:tcW w:w="1080" w:type="dxa"/>
            <w:shd w:val="clear" w:color="auto" w:fill="auto"/>
            <w:vAlign w:val="bottom"/>
          </w:tcPr>
          <w:p w:rsidR="00C83EEA" w:rsidRPr="00B20B70" w:rsidRDefault="00C83EEA" w:rsidP="009F24E6">
            <w:pPr>
              <w:tabs>
                <w:tab w:val="left" w:pos="720"/>
              </w:tabs>
              <w:autoSpaceDE w:val="0"/>
              <w:autoSpaceDN w:val="0"/>
              <w:adjustRightInd w:val="0"/>
              <w:jc w:val="right"/>
              <w:rPr>
                <w:b/>
                <w:sz w:val="20"/>
                <w:szCs w:val="20"/>
              </w:rPr>
            </w:pPr>
            <w:r w:rsidRPr="00B20B70">
              <w:rPr>
                <w:b/>
                <w:sz w:val="20"/>
                <w:szCs w:val="20"/>
              </w:rPr>
              <w:t>178 389</w:t>
            </w:r>
          </w:p>
        </w:tc>
        <w:tc>
          <w:tcPr>
            <w:tcW w:w="1260" w:type="dxa"/>
            <w:shd w:val="clear" w:color="auto" w:fill="auto"/>
            <w:vAlign w:val="bottom"/>
          </w:tcPr>
          <w:p w:rsidR="00C83EEA" w:rsidRPr="00B20B70" w:rsidRDefault="00C83EEA" w:rsidP="009F24E6">
            <w:pPr>
              <w:tabs>
                <w:tab w:val="left" w:pos="720"/>
              </w:tabs>
              <w:autoSpaceDE w:val="0"/>
              <w:autoSpaceDN w:val="0"/>
              <w:adjustRightInd w:val="0"/>
              <w:jc w:val="right"/>
              <w:rPr>
                <w:b/>
                <w:sz w:val="20"/>
                <w:szCs w:val="20"/>
              </w:rPr>
            </w:pPr>
            <w:r w:rsidRPr="00B20B70">
              <w:rPr>
                <w:b/>
                <w:sz w:val="20"/>
                <w:szCs w:val="20"/>
              </w:rPr>
              <w:t>188 920</w:t>
            </w:r>
          </w:p>
        </w:tc>
        <w:tc>
          <w:tcPr>
            <w:tcW w:w="1003" w:type="dxa"/>
            <w:shd w:val="clear" w:color="auto" w:fill="auto"/>
            <w:vAlign w:val="bottom"/>
          </w:tcPr>
          <w:p w:rsidR="00C83EEA" w:rsidRPr="00B20B70" w:rsidRDefault="00C83EEA" w:rsidP="009F24E6">
            <w:pPr>
              <w:tabs>
                <w:tab w:val="left" w:pos="720"/>
              </w:tabs>
              <w:autoSpaceDE w:val="0"/>
              <w:autoSpaceDN w:val="0"/>
              <w:adjustRightInd w:val="0"/>
              <w:jc w:val="right"/>
              <w:rPr>
                <w:b/>
                <w:sz w:val="20"/>
                <w:szCs w:val="20"/>
              </w:rPr>
            </w:pPr>
            <w:r w:rsidRPr="00B20B70">
              <w:rPr>
                <w:b/>
                <w:sz w:val="20"/>
                <w:szCs w:val="20"/>
              </w:rPr>
              <w:t>190 037</w:t>
            </w:r>
          </w:p>
        </w:tc>
      </w:tr>
      <w:tr w:rsidR="00C83EEA" w:rsidRPr="00B606D3" w:rsidTr="009F24E6">
        <w:tc>
          <w:tcPr>
            <w:tcW w:w="468" w:type="dxa"/>
            <w:shd w:val="clear" w:color="auto" w:fill="auto"/>
          </w:tcPr>
          <w:p w:rsidR="00C83EEA" w:rsidRPr="00B20B70" w:rsidRDefault="00C83EEA" w:rsidP="009F24E6">
            <w:pPr>
              <w:tabs>
                <w:tab w:val="left" w:pos="720"/>
              </w:tabs>
              <w:autoSpaceDE w:val="0"/>
              <w:autoSpaceDN w:val="0"/>
              <w:adjustRightInd w:val="0"/>
              <w:jc w:val="center"/>
              <w:rPr>
                <w:sz w:val="20"/>
                <w:szCs w:val="20"/>
              </w:rPr>
            </w:pPr>
          </w:p>
        </w:tc>
        <w:tc>
          <w:tcPr>
            <w:tcW w:w="5760" w:type="dxa"/>
            <w:shd w:val="clear" w:color="auto" w:fill="auto"/>
          </w:tcPr>
          <w:p w:rsidR="00C83EEA" w:rsidRPr="00B20B70" w:rsidRDefault="00C83EEA" w:rsidP="009F24E6">
            <w:pPr>
              <w:tabs>
                <w:tab w:val="left" w:pos="720"/>
              </w:tabs>
              <w:autoSpaceDE w:val="0"/>
              <w:autoSpaceDN w:val="0"/>
              <w:adjustRightInd w:val="0"/>
              <w:jc w:val="both"/>
              <w:rPr>
                <w:sz w:val="20"/>
                <w:szCs w:val="20"/>
              </w:rPr>
            </w:pPr>
            <w:r w:rsidRPr="00B20B70">
              <w:rPr>
                <w:sz w:val="20"/>
                <w:szCs w:val="20"/>
              </w:rPr>
              <w:t xml:space="preserve">  к предыдущему году, тыс. руб.</w:t>
            </w:r>
          </w:p>
        </w:tc>
        <w:tc>
          <w:tcPr>
            <w:tcW w:w="1080" w:type="dxa"/>
            <w:shd w:val="clear" w:color="auto" w:fill="auto"/>
            <w:vAlign w:val="bottom"/>
          </w:tcPr>
          <w:p w:rsidR="00C83EEA" w:rsidRPr="00B20B70" w:rsidRDefault="00C83EEA" w:rsidP="009F24E6">
            <w:pPr>
              <w:ind w:left="-108"/>
              <w:jc w:val="right"/>
              <w:rPr>
                <w:sz w:val="20"/>
                <w:szCs w:val="20"/>
              </w:rPr>
            </w:pPr>
            <w:r w:rsidRPr="00B20B70">
              <w:rPr>
                <w:sz w:val="20"/>
                <w:szCs w:val="20"/>
              </w:rPr>
              <w:t xml:space="preserve">  +10</w:t>
            </w:r>
            <w:r>
              <w:rPr>
                <w:sz w:val="20"/>
                <w:szCs w:val="20"/>
              </w:rPr>
              <w:t> </w:t>
            </w:r>
            <w:r w:rsidRPr="00B20B70">
              <w:rPr>
                <w:sz w:val="20"/>
                <w:szCs w:val="20"/>
              </w:rPr>
              <w:t>980</w:t>
            </w:r>
            <w:r>
              <w:rPr>
                <w:sz w:val="20"/>
                <w:szCs w:val="20"/>
              </w:rPr>
              <w:t>*</w:t>
            </w:r>
          </w:p>
        </w:tc>
        <w:tc>
          <w:tcPr>
            <w:tcW w:w="1260" w:type="dxa"/>
            <w:shd w:val="clear" w:color="auto" w:fill="auto"/>
            <w:vAlign w:val="bottom"/>
          </w:tcPr>
          <w:p w:rsidR="00C83EEA" w:rsidRPr="00B20B70" w:rsidRDefault="00C83EEA" w:rsidP="009F24E6">
            <w:pPr>
              <w:jc w:val="right"/>
              <w:rPr>
                <w:sz w:val="20"/>
                <w:szCs w:val="20"/>
              </w:rPr>
            </w:pPr>
            <w:r w:rsidRPr="00B20B70">
              <w:rPr>
                <w:sz w:val="20"/>
                <w:szCs w:val="20"/>
              </w:rPr>
              <w:t>+10 531</w:t>
            </w:r>
          </w:p>
        </w:tc>
        <w:tc>
          <w:tcPr>
            <w:tcW w:w="1003" w:type="dxa"/>
            <w:shd w:val="clear" w:color="auto" w:fill="auto"/>
            <w:vAlign w:val="bottom"/>
          </w:tcPr>
          <w:p w:rsidR="00C83EEA" w:rsidRPr="00B20B70" w:rsidRDefault="00C83EEA" w:rsidP="009F24E6">
            <w:pPr>
              <w:ind w:left="-108" w:right="-108"/>
              <w:jc w:val="center"/>
              <w:rPr>
                <w:sz w:val="20"/>
                <w:szCs w:val="20"/>
              </w:rPr>
            </w:pPr>
            <w:r>
              <w:rPr>
                <w:sz w:val="20"/>
                <w:szCs w:val="20"/>
              </w:rPr>
              <w:t xml:space="preserve">    </w:t>
            </w:r>
            <w:r w:rsidRPr="00B20B70">
              <w:rPr>
                <w:sz w:val="20"/>
                <w:szCs w:val="20"/>
              </w:rPr>
              <w:t>+1</w:t>
            </w:r>
            <w:r>
              <w:rPr>
                <w:sz w:val="20"/>
                <w:szCs w:val="20"/>
              </w:rPr>
              <w:t> </w:t>
            </w:r>
            <w:r w:rsidRPr="00B20B70">
              <w:rPr>
                <w:sz w:val="20"/>
                <w:szCs w:val="20"/>
              </w:rPr>
              <w:t>117</w:t>
            </w:r>
          </w:p>
        </w:tc>
      </w:tr>
      <w:tr w:rsidR="00C83EEA" w:rsidRPr="00B606D3" w:rsidTr="009F24E6">
        <w:tc>
          <w:tcPr>
            <w:tcW w:w="468" w:type="dxa"/>
            <w:shd w:val="clear" w:color="auto" w:fill="auto"/>
          </w:tcPr>
          <w:p w:rsidR="00C83EEA" w:rsidRPr="00B20B70" w:rsidRDefault="00C83EEA" w:rsidP="009F24E6">
            <w:pPr>
              <w:tabs>
                <w:tab w:val="left" w:pos="720"/>
              </w:tabs>
              <w:autoSpaceDE w:val="0"/>
              <w:autoSpaceDN w:val="0"/>
              <w:adjustRightInd w:val="0"/>
              <w:jc w:val="center"/>
              <w:rPr>
                <w:sz w:val="20"/>
                <w:szCs w:val="20"/>
              </w:rPr>
            </w:pPr>
          </w:p>
        </w:tc>
        <w:tc>
          <w:tcPr>
            <w:tcW w:w="5760" w:type="dxa"/>
            <w:shd w:val="clear" w:color="auto" w:fill="auto"/>
          </w:tcPr>
          <w:p w:rsidR="00C83EEA" w:rsidRPr="00B20B70" w:rsidRDefault="00C83EEA" w:rsidP="009F24E6">
            <w:pPr>
              <w:tabs>
                <w:tab w:val="left" w:pos="720"/>
              </w:tabs>
              <w:autoSpaceDE w:val="0"/>
              <w:autoSpaceDN w:val="0"/>
              <w:adjustRightInd w:val="0"/>
              <w:jc w:val="both"/>
              <w:rPr>
                <w:sz w:val="20"/>
                <w:szCs w:val="20"/>
              </w:rPr>
            </w:pPr>
            <w:r w:rsidRPr="00B20B70">
              <w:rPr>
                <w:sz w:val="20"/>
                <w:szCs w:val="20"/>
              </w:rPr>
              <w:t xml:space="preserve">  к предыдущему году, %</w:t>
            </w:r>
          </w:p>
        </w:tc>
        <w:tc>
          <w:tcPr>
            <w:tcW w:w="1080" w:type="dxa"/>
            <w:shd w:val="clear" w:color="auto" w:fill="auto"/>
            <w:vAlign w:val="bottom"/>
          </w:tcPr>
          <w:p w:rsidR="00C83EEA" w:rsidRPr="00B20B70" w:rsidRDefault="00C83EEA" w:rsidP="009F24E6">
            <w:pPr>
              <w:tabs>
                <w:tab w:val="left" w:pos="720"/>
              </w:tabs>
              <w:autoSpaceDE w:val="0"/>
              <w:autoSpaceDN w:val="0"/>
              <w:adjustRightInd w:val="0"/>
              <w:jc w:val="right"/>
              <w:rPr>
                <w:sz w:val="20"/>
                <w:szCs w:val="20"/>
              </w:rPr>
            </w:pPr>
            <w:r w:rsidRPr="00B20B70">
              <w:rPr>
                <w:sz w:val="20"/>
                <w:szCs w:val="20"/>
              </w:rPr>
              <w:t>106,6</w:t>
            </w:r>
          </w:p>
        </w:tc>
        <w:tc>
          <w:tcPr>
            <w:tcW w:w="1260" w:type="dxa"/>
            <w:shd w:val="clear" w:color="auto" w:fill="auto"/>
            <w:vAlign w:val="bottom"/>
          </w:tcPr>
          <w:p w:rsidR="00C83EEA" w:rsidRPr="00B20B70" w:rsidRDefault="00C83EEA" w:rsidP="009F24E6">
            <w:pPr>
              <w:tabs>
                <w:tab w:val="left" w:pos="720"/>
              </w:tabs>
              <w:autoSpaceDE w:val="0"/>
              <w:autoSpaceDN w:val="0"/>
              <w:adjustRightInd w:val="0"/>
              <w:jc w:val="right"/>
              <w:rPr>
                <w:sz w:val="20"/>
                <w:szCs w:val="20"/>
              </w:rPr>
            </w:pPr>
            <w:r w:rsidRPr="00B20B70">
              <w:rPr>
                <w:sz w:val="20"/>
                <w:szCs w:val="20"/>
              </w:rPr>
              <w:t>105,9</w:t>
            </w:r>
          </w:p>
        </w:tc>
        <w:tc>
          <w:tcPr>
            <w:tcW w:w="1003" w:type="dxa"/>
            <w:shd w:val="clear" w:color="auto" w:fill="auto"/>
            <w:vAlign w:val="bottom"/>
          </w:tcPr>
          <w:p w:rsidR="00C83EEA" w:rsidRPr="00B20B70" w:rsidRDefault="00C83EEA" w:rsidP="009F24E6">
            <w:pPr>
              <w:tabs>
                <w:tab w:val="left" w:pos="720"/>
              </w:tabs>
              <w:autoSpaceDE w:val="0"/>
              <w:autoSpaceDN w:val="0"/>
              <w:adjustRightInd w:val="0"/>
              <w:jc w:val="right"/>
              <w:rPr>
                <w:sz w:val="20"/>
                <w:szCs w:val="20"/>
              </w:rPr>
            </w:pPr>
            <w:r w:rsidRPr="00B20B70">
              <w:rPr>
                <w:sz w:val="20"/>
                <w:szCs w:val="20"/>
              </w:rPr>
              <w:t>100,6</w:t>
            </w:r>
          </w:p>
        </w:tc>
      </w:tr>
      <w:tr w:rsidR="00C83EEA" w:rsidRPr="00B606D3" w:rsidTr="009F24E6">
        <w:tc>
          <w:tcPr>
            <w:tcW w:w="468" w:type="dxa"/>
            <w:shd w:val="clear" w:color="auto" w:fill="auto"/>
          </w:tcPr>
          <w:p w:rsidR="00C83EEA" w:rsidRPr="00B20B70" w:rsidRDefault="00C83EEA" w:rsidP="009F24E6">
            <w:pPr>
              <w:tabs>
                <w:tab w:val="left" w:pos="720"/>
              </w:tabs>
              <w:autoSpaceDE w:val="0"/>
              <w:autoSpaceDN w:val="0"/>
              <w:adjustRightInd w:val="0"/>
              <w:jc w:val="center"/>
              <w:rPr>
                <w:sz w:val="20"/>
                <w:szCs w:val="20"/>
              </w:rPr>
            </w:pPr>
          </w:p>
        </w:tc>
        <w:tc>
          <w:tcPr>
            <w:tcW w:w="5760" w:type="dxa"/>
            <w:shd w:val="clear" w:color="auto" w:fill="auto"/>
          </w:tcPr>
          <w:p w:rsidR="00C83EEA" w:rsidRPr="00B20B70" w:rsidRDefault="00C83EEA" w:rsidP="009F24E6">
            <w:pPr>
              <w:tabs>
                <w:tab w:val="left" w:pos="720"/>
              </w:tabs>
              <w:autoSpaceDE w:val="0"/>
              <w:autoSpaceDN w:val="0"/>
              <w:adjustRightInd w:val="0"/>
              <w:jc w:val="both"/>
              <w:rPr>
                <w:sz w:val="20"/>
                <w:szCs w:val="20"/>
              </w:rPr>
            </w:pPr>
            <w:r w:rsidRPr="00B20B70">
              <w:rPr>
                <w:sz w:val="20"/>
                <w:szCs w:val="20"/>
              </w:rPr>
              <w:t xml:space="preserve">  темпы роста к 2012 году (в ожидаемой оценке)</w:t>
            </w:r>
          </w:p>
        </w:tc>
        <w:tc>
          <w:tcPr>
            <w:tcW w:w="1080" w:type="dxa"/>
            <w:shd w:val="clear" w:color="auto" w:fill="auto"/>
            <w:vAlign w:val="bottom"/>
          </w:tcPr>
          <w:p w:rsidR="00C83EEA" w:rsidRPr="00B20B70" w:rsidRDefault="00C83EEA" w:rsidP="009F24E6">
            <w:pPr>
              <w:tabs>
                <w:tab w:val="left" w:pos="720"/>
              </w:tabs>
              <w:autoSpaceDE w:val="0"/>
              <w:autoSpaceDN w:val="0"/>
              <w:adjustRightInd w:val="0"/>
              <w:jc w:val="right"/>
              <w:rPr>
                <w:sz w:val="20"/>
                <w:szCs w:val="20"/>
              </w:rPr>
            </w:pPr>
            <w:r w:rsidRPr="00B20B70">
              <w:rPr>
                <w:sz w:val="20"/>
                <w:szCs w:val="20"/>
              </w:rPr>
              <w:t>106,6</w:t>
            </w:r>
          </w:p>
        </w:tc>
        <w:tc>
          <w:tcPr>
            <w:tcW w:w="1260" w:type="dxa"/>
            <w:shd w:val="clear" w:color="auto" w:fill="auto"/>
            <w:vAlign w:val="bottom"/>
          </w:tcPr>
          <w:p w:rsidR="00C83EEA" w:rsidRPr="00B20B70" w:rsidRDefault="00C83EEA" w:rsidP="009F24E6">
            <w:pPr>
              <w:tabs>
                <w:tab w:val="left" w:pos="720"/>
              </w:tabs>
              <w:autoSpaceDE w:val="0"/>
              <w:autoSpaceDN w:val="0"/>
              <w:adjustRightInd w:val="0"/>
              <w:jc w:val="right"/>
              <w:rPr>
                <w:sz w:val="20"/>
                <w:szCs w:val="20"/>
              </w:rPr>
            </w:pPr>
            <w:r w:rsidRPr="00B20B70">
              <w:rPr>
                <w:sz w:val="20"/>
                <w:szCs w:val="20"/>
              </w:rPr>
              <w:t>112,8</w:t>
            </w:r>
          </w:p>
        </w:tc>
        <w:tc>
          <w:tcPr>
            <w:tcW w:w="1003" w:type="dxa"/>
            <w:shd w:val="clear" w:color="auto" w:fill="auto"/>
            <w:vAlign w:val="bottom"/>
          </w:tcPr>
          <w:p w:rsidR="00C83EEA" w:rsidRPr="00B20B70" w:rsidRDefault="00C83EEA" w:rsidP="009F24E6">
            <w:pPr>
              <w:tabs>
                <w:tab w:val="left" w:pos="720"/>
              </w:tabs>
              <w:autoSpaceDE w:val="0"/>
              <w:autoSpaceDN w:val="0"/>
              <w:adjustRightInd w:val="0"/>
              <w:jc w:val="right"/>
              <w:rPr>
                <w:sz w:val="20"/>
                <w:szCs w:val="20"/>
              </w:rPr>
            </w:pPr>
            <w:r w:rsidRPr="00B20B70">
              <w:rPr>
                <w:sz w:val="20"/>
                <w:szCs w:val="20"/>
              </w:rPr>
              <w:t>113,5</w:t>
            </w:r>
          </w:p>
        </w:tc>
      </w:tr>
      <w:tr w:rsidR="00C83EEA" w:rsidRPr="00B20B70" w:rsidTr="009F24E6">
        <w:tc>
          <w:tcPr>
            <w:tcW w:w="468" w:type="dxa"/>
            <w:shd w:val="clear" w:color="auto" w:fill="auto"/>
          </w:tcPr>
          <w:p w:rsidR="00C83EEA" w:rsidRPr="00B20B70" w:rsidRDefault="00C83EEA" w:rsidP="009F24E6">
            <w:pPr>
              <w:tabs>
                <w:tab w:val="left" w:pos="720"/>
              </w:tabs>
              <w:autoSpaceDE w:val="0"/>
              <w:autoSpaceDN w:val="0"/>
              <w:adjustRightInd w:val="0"/>
              <w:jc w:val="center"/>
              <w:rPr>
                <w:b/>
                <w:sz w:val="20"/>
                <w:szCs w:val="20"/>
              </w:rPr>
            </w:pPr>
            <w:r w:rsidRPr="00B20B70">
              <w:rPr>
                <w:b/>
                <w:sz w:val="20"/>
                <w:szCs w:val="20"/>
              </w:rPr>
              <w:t>2.</w:t>
            </w:r>
          </w:p>
        </w:tc>
        <w:tc>
          <w:tcPr>
            <w:tcW w:w="5760" w:type="dxa"/>
            <w:shd w:val="clear" w:color="auto" w:fill="auto"/>
          </w:tcPr>
          <w:p w:rsidR="00C83EEA" w:rsidRPr="00B20B70" w:rsidRDefault="00C83EEA" w:rsidP="009F24E6">
            <w:pPr>
              <w:tabs>
                <w:tab w:val="left" w:pos="720"/>
              </w:tabs>
              <w:autoSpaceDE w:val="0"/>
              <w:autoSpaceDN w:val="0"/>
              <w:adjustRightInd w:val="0"/>
              <w:jc w:val="both"/>
              <w:rPr>
                <w:b/>
                <w:sz w:val="20"/>
                <w:szCs w:val="20"/>
              </w:rPr>
            </w:pPr>
            <w:r w:rsidRPr="00B20B70">
              <w:rPr>
                <w:b/>
                <w:sz w:val="20"/>
                <w:szCs w:val="20"/>
              </w:rPr>
              <w:t>Закон от 13.12.2011 № 338-ОЗ (2012-</w:t>
            </w:r>
            <w:smartTag w:uri="urn:schemas-microsoft-com:office:smarttags" w:element="metricconverter">
              <w:smartTagPr>
                <w:attr w:name="ProductID" w:val="2014 г"/>
              </w:smartTagPr>
              <w:r w:rsidRPr="00B20B70">
                <w:rPr>
                  <w:b/>
                  <w:sz w:val="20"/>
                  <w:szCs w:val="20"/>
                </w:rPr>
                <w:t xml:space="preserve">2014 </w:t>
              </w:r>
              <w:proofErr w:type="spellStart"/>
              <w:r w:rsidRPr="00B20B70">
                <w:rPr>
                  <w:b/>
                  <w:sz w:val="20"/>
                  <w:szCs w:val="20"/>
                </w:rPr>
                <w:t>г</w:t>
              </w:r>
            </w:smartTag>
            <w:r w:rsidRPr="00B20B70">
              <w:rPr>
                <w:b/>
                <w:sz w:val="20"/>
                <w:szCs w:val="20"/>
              </w:rPr>
              <w:t>.г</w:t>
            </w:r>
            <w:proofErr w:type="spellEnd"/>
            <w:r w:rsidRPr="00B20B70">
              <w:rPr>
                <w:b/>
                <w:sz w:val="20"/>
                <w:szCs w:val="20"/>
              </w:rPr>
              <w:t>.), тыс. руб.</w:t>
            </w:r>
          </w:p>
        </w:tc>
        <w:tc>
          <w:tcPr>
            <w:tcW w:w="1080" w:type="dxa"/>
            <w:shd w:val="clear" w:color="auto" w:fill="auto"/>
            <w:vAlign w:val="bottom"/>
          </w:tcPr>
          <w:p w:rsidR="00C83EEA" w:rsidRPr="00B20B70" w:rsidRDefault="00C83EEA" w:rsidP="009F24E6">
            <w:pPr>
              <w:tabs>
                <w:tab w:val="left" w:pos="720"/>
              </w:tabs>
              <w:autoSpaceDE w:val="0"/>
              <w:autoSpaceDN w:val="0"/>
              <w:adjustRightInd w:val="0"/>
              <w:jc w:val="right"/>
              <w:rPr>
                <w:b/>
                <w:sz w:val="20"/>
                <w:szCs w:val="20"/>
              </w:rPr>
            </w:pPr>
            <w:r w:rsidRPr="00B20B70">
              <w:rPr>
                <w:b/>
                <w:sz w:val="20"/>
                <w:szCs w:val="20"/>
              </w:rPr>
              <w:t>174 801</w:t>
            </w:r>
          </w:p>
        </w:tc>
        <w:tc>
          <w:tcPr>
            <w:tcW w:w="1260" w:type="dxa"/>
            <w:shd w:val="clear" w:color="auto" w:fill="auto"/>
            <w:vAlign w:val="bottom"/>
          </w:tcPr>
          <w:p w:rsidR="00C83EEA" w:rsidRPr="00B20B70" w:rsidRDefault="00C83EEA" w:rsidP="009F24E6">
            <w:pPr>
              <w:tabs>
                <w:tab w:val="left" w:pos="720"/>
              </w:tabs>
              <w:autoSpaceDE w:val="0"/>
              <w:autoSpaceDN w:val="0"/>
              <w:adjustRightInd w:val="0"/>
              <w:jc w:val="right"/>
              <w:rPr>
                <w:b/>
                <w:sz w:val="20"/>
                <w:szCs w:val="20"/>
              </w:rPr>
            </w:pPr>
            <w:r w:rsidRPr="00B20B70">
              <w:rPr>
                <w:b/>
                <w:sz w:val="20"/>
                <w:szCs w:val="20"/>
              </w:rPr>
              <w:t>182 081</w:t>
            </w:r>
          </w:p>
        </w:tc>
        <w:tc>
          <w:tcPr>
            <w:tcW w:w="1003" w:type="dxa"/>
            <w:shd w:val="clear" w:color="auto" w:fill="auto"/>
            <w:vAlign w:val="bottom"/>
          </w:tcPr>
          <w:p w:rsidR="00C83EEA" w:rsidRPr="00B20B70" w:rsidRDefault="00C83EEA" w:rsidP="009F24E6">
            <w:pPr>
              <w:tabs>
                <w:tab w:val="left" w:pos="720"/>
              </w:tabs>
              <w:autoSpaceDE w:val="0"/>
              <w:autoSpaceDN w:val="0"/>
              <w:adjustRightInd w:val="0"/>
              <w:jc w:val="right"/>
              <w:rPr>
                <w:b/>
                <w:sz w:val="20"/>
                <w:szCs w:val="20"/>
              </w:rPr>
            </w:pPr>
          </w:p>
        </w:tc>
      </w:tr>
      <w:tr w:rsidR="00C83EEA" w:rsidRPr="00B606D3" w:rsidTr="009F24E6">
        <w:tc>
          <w:tcPr>
            <w:tcW w:w="468" w:type="dxa"/>
            <w:shd w:val="clear" w:color="auto" w:fill="auto"/>
          </w:tcPr>
          <w:p w:rsidR="00C83EEA" w:rsidRPr="00B20B70" w:rsidRDefault="00C83EEA" w:rsidP="009F24E6">
            <w:pPr>
              <w:tabs>
                <w:tab w:val="left" w:pos="720"/>
              </w:tabs>
              <w:autoSpaceDE w:val="0"/>
              <w:autoSpaceDN w:val="0"/>
              <w:adjustRightInd w:val="0"/>
              <w:jc w:val="center"/>
              <w:rPr>
                <w:sz w:val="20"/>
                <w:szCs w:val="20"/>
              </w:rPr>
            </w:pPr>
          </w:p>
        </w:tc>
        <w:tc>
          <w:tcPr>
            <w:tcW w:w="5760" w:type="dxa"/>
            <w:shd w:val="clear" w:color="auto" w:fill="auto"/>
          </w:tcPr>
          <w:p w:rsidR="00C83EEA" w:rsidRPr="00B20B70" w:rsidRDefault="00C83EEA" w:rsidP="009F24E6">
            <w:pPr>
              <w:tabs>
                <w:tab w:val="left" w:pos="720"/>
              </w:tabs>
              <w:autoSpaceDE w:val="0"/>
              <w:autoSpaceDN w:val="0"/>
              <w:adjustRightInd w:val="0"/>
              <w:jc w:val="both"/>
              <w:rPr>
                <w:sz w:val="20"/>
                <w:szCs w:val="20"/>
              </w:rPr>
            </w:pPr>
            <w:r w:rsidRPr="00B20B70">
              <w:rPr>
                <w:sz w:val="20"/>
                <w:szCs w:val="20"/>
              </w:rPr>
              <w:t xml:space="preserve">  к предыдущему году, тыс. руб.</w:t>
            </w:r>
          </w:p>
        </w:tc>
        <w:tc>
          <w:tcPr>
            <w:tcW w:w="1080" w:type="dxa"/>
            <w:shd w:val="clear" w:color="auto" w:fill="auto"/>
            <w:vAlign w:val="bottom"/>
          </w:tcPr>
          <w:p w:rsidR="00C83EEA" w:rsidRPr="00B20B70" w:rsidRDefault="00C83EEA" w:rsidP="009F24E6">
            <w:pPr>
              <w:tabs>
                <w:tab w:val="left" w:pos="720"/>
              </w:tabs>
              <w:autoSpaceDE w:val="0"/>
              <w:autoSpaceDN w:val="0"/>
              <w:adjustRightInd w:val="0"/>
              <w:jc w:val="right"/>
              <w:rPr>
                <w:sz w:val="20"/>
                <w:szCs w:val="20"/>
              </w:rPr>
            </w:pPr>
            <w:r w:rsidRPr="00B20B70">
              <w:rPr>
                <w:sz w:val="20"/>
                <w:szCs w:val="20"/>
              </w:rPr>
              <w:t>+7 392*</w:t>
            </w:r>
          </w:p>
        </w:tc>
        <w:tc>
          <w:tcPr>
            <w:tcW w:w="1260" w:type="dxa"/>
            <w:shd w:val="clear" w:color="auto" w:fill="auto"/>
            <w:vAlign w:val="bottom"/>
          </w:tcPr>
          <w:p w:rsidR="00C83EEA" w:rsidRPr="00B20B70" w:rsidRDefault="00C83EEA" w:rsidP="009F24E6">
            <w:pPr>
              <w:tabs>
                <w:tab w:val="left" w:pos="720"/>
              </w:tabs>
              <w:autoSpaceDE w:val="0"/>
              <w:autoSpaceDN w:val="0"/>
              <w:adjustRightInd w:val="0"/>
              <w:jc w:val="right"/>
              <w:rPr>
                <w:sz w:val="20"/>
                <w:szCs w:val="20"/>
              </w:rPr>
            </w:pPr>
            <w:r w:rsidRPr="00B20B70">
              <w:rPr>
                <w:sz w:val="20"/>
                <w:szCs w:val="20"/>
              </w:rPr>
              <w:t>+7 280</w:t>
            </w:r>
          </w:p>
        </w:tc>
        <w:tc>
          <w:tcPr>
            <w:tcW w:w="1003" w:type="dxa"/>
            <w:shd w:val="clear" w:color="auto" w:fill="auto"/>
            <w:vAlign w:val="bottom"/>
          </w:tcPr>
          <w:p w:rsidR="00C83EEA" w:rsidRPr="00B20B70" w:rsidRDefault="00C83EEA" w:rsidP="009F24E6">
            <w:pPr>
              <w:tabs>
                <w:tab w:val="left" w:pos="720"/>
              </w:tabs>
              <w:autoSpaceDE w:val="0"/>
              <w:autoSpaceDN w:val="0"/>
              <w:adjustRightInd w:val="0"/>
              <w:jc w:val="right"/>
              <w:rPr>
                <w:sz w:val="20"/>
                <w:szCs w:val="20"/>
              </w:rPr>
            </w:pPr>
          </w:p>
        </w:tc>
      </w:tr>
      <w:tr w:rsidR="00C83EEA" w:rsidRPr="00B606D3" w:rsidTr="009F24E6">
        <w:tc>
          <w:tcPr>
            <w:tcW w:w="468" w:type="dxa"/>
            <w:shd w:val="clear" w:color="auto" w:fill="auto"/>
          </w:tcPr>
          <w:p w:rsidR="00C83EEA" w:rsidRPr="00B20B70" w:rsidRDefault="00C83EEA" w:rsidP="009F24E6">
            <w:pPr>
              <w:tabs>
                <w:tab w:val="left" w:pos="720"/>
              </w:tabs>
              <w:autoSpaceDE w:val="0"/>
              <w:autoSpaceDN w:val="0"/>
              <w:adjustRightInd w:val="0"/>
              <w:jc w:val="center"/>
              <w:rPr>
                <w:sz w:val="20"/>
                <w:szCs w:val="20"/>
              </w:rPr>
            </w:pPr>
          </w:p>
        </w:tc>
        <w:tc>
          <w:tcPr>
            <w:tcW w:w="5760" w:type="dxa"/>
            <w:shd w:val="clear" w:color="auto" w:fill="auto"/>
          </w:tcPr>
          <w:p w:rsidR="00C83EEA" w:rsidRPr="00B20B70" w:rsidRDefault="00C83EEA" w:rsidP="009F24E6">
            <w:pPr>
              <w:tabs>
                <w:tab w:val="left" w:pos="720"/>
              </w:tabs>
              <w:autoSpaceDE w:val="0"/>
              <w:autoSpaceDN w:val="0"/>
              <w:adjustRightInd w:val="0"/>
              <w:jc w:val="both"/>
              <w:rPr>
                <w:sz w:val="20"/>
                <w:szCs w:val="20"/>
              </w:rPr>
            </w:pPr>
            <w:r w:rsidRPr="00B20B70">
              <w:rPr>
                <w:sz w:val="20"/>
                <w:szCs w:val="20"/>
              </w:rPr>
              <w:t xml:space="preserve">  к предыдущему году, %</w:t>
            </w:r>
          </w:p>
        </w:tc>
        <w:tc>
          <w:tcPr>
            <w:tcW w:w="1080" w:type="dxa"/>
            <w:shd w:val="clear" w:color="auto" w:fill="auto"/>
            <w:vAlign w:val="bottom"/>
          </w:tcPr>
          <w:p w:rsidR="00C83EEA" w:rsidRPr="00B20B70" w:rsidRDefault="00C83EEA" w:rsidP="009F24E6">
            <w:pPr>
              <w:tabs>
                <w:tab w:val="left" w:pos="720"/>
              </w:tabs>
              <w:autoSpaceDE w:val="0"/>
              <w:autoSpaceDN w:val="0"/>
              <w:adjustRightInd w:val="0"/>
              <w:jc w:val="right"/>
              <w:rPr>
                <w:sz w:val="20"/>
                <w:szCs w:val="20"/>
              </w:rPr>
            </w:pPr>
            <w:r w:rsidRPr="00B20B70">
              <w:rPr>
                <w:sz w:val="20"/>
                <w:szCs w:val="20"/>
              </w:rPr>
              <w:t>104,4</w:t>
            </w:r>
          </w:p>
        </w:tc>
        <w:tc>
          <w:tcPr>
            <w:tcW w:w="1260" w:type="dxa"/>
            <w:shd w:val="clear" w:color="auto" w:fill="auto"/>
            <w:vAlign w:val="bottom"/>
          </w:tcPr>
          <w:p w:rsidR="00C83EEA" w:rsidRPr="00B20B70" w:rsidRDefault="00C83EEA" w:rsidP="009F24E6">
            <w:pPr>
              <w:tabs>
                <w:tab w:val="left" w:pos="720"/>
              </w:tabs>
              <w:autoSpaceDE w:val="0"/>
              <w:autoSpaceDN w:val="0"/>
              <w:adjustRightInd w:val="0"/>
              <w:jc w:val="right"/>
              <w:rPr>
                <w:sz w:val="20"/>
                <w:szCs w:val="20"/>
              </w:rPr>
            </w:pPr>
            <w:r w:rsidRPr="00B20B70">
              <w:rPr>
                <w:sz w:val="20"/>
                <w:szCs w:val="20"/>
              </w:rPr>
              <w:t>104,2</w:t>
            </w:r>
          </w:p>
        </w:tc>
        <w:tc>
          <w:tcPr>
            <w:tcW w:w="1003" w:type="dxa"/>
            <w:shd w:val="clear" w:color="auto" w:fill="auto"/>
            <w:vAlign w:val="bottom"/>
          </w:tcPr>
          <w:p w:rsidR="00C83EEA" w:rsidRPr="00B20B70" w:rsidRDefault="00C83EEA" w:rsidP="009F24E6">
            <w:pPr>
              <w:tabs>
                <w:tab w:val="left" w:pos="720"/>
              </w:tabs>
              <w:autoSpaceDE w:val="0"/>
              <w:autoSpaceDN w:val="0"/>
              <w:adjustRightInd w:val="0"/>
              <w:jc w:val="right"/>
              <w:rPr>
                <w:sz w:val="20"/>
                <w:szCs w:val="20"/>
              </w:rPr>
            </w:pPr>
          </w:p>
        </w:tc>
      </w:tr>
    </w:tbl>
    <w:p w:rsidR="00C83EEA" w:rsidRPr="00B606D3" w:rsidRDefault="00C83EEA" w:rsidP="00C83EEA">
      <w:pPr>
        <w:tabs>
          <w:tab w:val="left" w:pos="720"/>
        </w:tabs>
        <w:autoSpaceDE w:val="0"/>
        <w:autoSpaceDN w:val="0"/>
        <w:adjustRightInd w:val="0"/>
        <w:jc w:val="both"/>
        <w:rPr>
          <w:sz w:val="20"/>
          <w:szCs w:val="20"/>
        </w:rPr>
      </w:pPr>
      <w:r w:rsidRPr="00B606D3">
        <w:rPr>
          <w:sz w:val="20"/>
          <w:szCs w:val="20"/>
        </w:rPr>
        <w:t xml:space="preserve">* ожидаемая оценка </w:t>
      </w:r>
      <w:r>
        <w:rPr>
          <w:sz w:val="20"/>
          <w:szCs w:val="20"/>
        </w:rPr>
        <w:t>з</w:t>
      </w:r>
      <w:r w:rsidRPr="00B606D3">
        <w:rPr>
          <w:sz w:val="20"/>
          <w:szCs w:val="20"/>
        </w:rPr>
        <w:t xml:space="preserve">а 2012 год </w:t>
      </w:r>
      <w:r>
        <w:rPr>
          <w:sz w:val="20"/>
          <w:szCs w:val="20"/>
        </w:rPr>
        <w:t>-</w:t>
      </w:r>
      <w:r w:rsidRPr="00B606D3">
        <w:rPr>
          <w:sz w:val="20"/>
          <w:szCs w:val="20"/>
        </w:rPr>
        <w:t xml:space="preserve"> 167 409 тыс. руб.</w:t>
      </w:r>
    </w:p>
    <w:p w:rsidR="00C83EEA" w:rsidRPr="00004FF1" w:rsidRDefault="00C83EEA" w:rsidP="00C83EEA">
      <w:pPr>
        <w:tabs>
          <w:tab w:val="left" w:pos="720"/>
        </w:tabs>
        <w:autoSpaceDE w:val="0"/>
        <w:autoSpaceDN w:val="0"/>
        <w:adjustRightInd w:val="0"/>
        <w:jc w:val="both"/>
        <w:rPr>
          <w:sz w:val="20"/>
          <w:szCs w:val="20"/>
        </w:rPr>
      </w:pPr>
    </w:p>
    <w:p w:rsidR="00C83EEA" w:rsidRDefault="00C83EEA" w:rsidP="00C83EEA">
      <w:pPr>
        <w:tabs>
          <w:tab w:val="left" w:pos="720"/>
        </w:tabs>
        <w:autoSpaceDE w:val="0"/>
        <w:autoSpaceDN w:val="0"/>
        <w:adjustRightInd w:val="0"/>
        <w:jc w:val="both"/>
      </w:pPr>
      <w:r w:rsidRPr="00004FF1">
        <w:tab/>
      </w:r>
      <w:proofErr w:type="gramStart"/>
      <w:r>
        <w:t xml:space="preserve">Законопроектом предусмотрены более высокие темпы роста объема </w:t>
      </w:r>
      <w:r w:rsidRPr="001662C2">
        <w:t>доходов от и</w:t>
      </w:r>
      <w:r w:rsidRPr="001662C2">
        <w:t>с</w:t>
      </w:r>
      <w:r w:rsidRPr="001662C2">
        <w:t>пользования</w:t>
      </w:r>
      <w:r>
        <w:t xml:space="preserve"> областного</w:t>
      </w:r>
      <w:r w:rsidRPr="001662C2">
        <w:t xml:space="preserve"> имущества</w:t>
      </w:r>
      <w:r>
        <w:t>, планируемых на 2013 и 2014 годы (106,6% и 105,9% к предыдущему году), по сравнению с учтенными в Законе Томской области от 13.12.2011 № 338-ОЗ «Об областном бю</w:t>
      </w:r>
      <w:r>
        <w:t>д</w:t>
      </w:r>
      <w:r>
        <w:t>жете на 2012 год и на плановый период 2013 и 2014 годов» - соответственно 104,4% и 104,2%. На 2015 год темп роста указанного исто</w:t>
      </w:r>
      <w:r>
        <w:t>ч</w:t>
      </w:r>
      <w:r>
        <w:t>ника</w:t>
      </w:r>
      <w:proofErr w:type="gramEnd"/>
      <w:r>
        <w:t xml:space="preserve"> доходов составляет 100,6% к предыдущему году (прогнозируемый прирост доходов областного бюдж</w:t>
      </w:r>
      <w:r>
        <w:t>е</w:t>
      </w:r>
      <w:r>
        <w:t xml:space="preserve">та - 1 117 </w:t>
      </w:r>
      <w:proofErr w:type="spellStart"/>
      <w:r>
        <w:t>тыс</w:t>
      </w:r>
      <w:proofErr w:type="gramStart"/>
      <w:r>
        <w:t>.р</w:t>
      </w:r>
      <w:proofErr w:type="gramEnd"/>
      <w:r>
        <w:t>уб</w:t>
      </w:r>
      <w:proofErr w:type="spellEnd"/>
      <w:r>
        <w:t xml:space="preserve">.). </w:t>
      </w:r>
    </w:p>
    <w:p w:rsidR="00C83EEA" w:rsidRPr="008829BF" w:rsidRDefault="00C83EEA" w:rsidP="00C83EEA">
      <w:pPr>
        <w:tabs>
          <w:tab w:val="left" w:pos="720"/>
        </w:tabs>
        <w:autoSpaceDE w:val="0"/>
        <w:autoSpaceDN w:val="0"/>
        <w:adjustRightInd w:val="0"/>
        <w:ind w:firstLine="709"/>
        <w:jc w:val="both"/>
      </w:pPr>
      <w:r>
        <w:t>80%</w:t>
      </w:r>
      <w:r w:rsidRPr="008829BF">
        <w:t xml:space="preserve"> указанных дох</w:t>
      </w:r>
      <w:r>
        <w:t xml:space="preserve">одов </w:t>
      </w:r>
      <w:r w:rsidRPr="008829BF">
        <w:t>формиру</w:t>
      </w:r>
      <w:r>
        <w:t>е</w:t>
      </w:r>
      <w:r w:rsidRPr="008829BF">
        <w:t>тся за счет доходов, получаемых в виде арен</w:t>
      </w:r>
      <w:r w:rsidRPr="008829BF">
        <w:t>д</w:t>
      </w:r>
      <w:r w:rsidRPr="008829BF">
        <w:t>ной платы за земельные участки</w:t>
      </w:r>
      <w:r>
        <w:t xml:space="preserve">, находящиеся в государственной и муниципальной </w:t>
      </w:r>
      <w:r>
        <w:lastRenderedPageBreak/>
        <w:t>собственности</w:t>
      </w:r>
      <w:r w:rsidRPr="008829BF">
        <w:t>. Динамика доходов областного бюджета, пол</w:t>
      </w:r>
      <w:r w:rsidRPr="008829BF">
        <w:t>у</w:t>
      </w:r>
      <w:r w:rsidRPr="008829BF">
        <w:t>чаемых в виде арендной платы за земельные участки</w:t>
      </w:r>
      <w:r>
        <w:t>,</w:t>
      </w:r>
      <w:r w:rsidRPr="008829BF">
        <w:t xml:space="preserve"> пр</w:t>
      </w:r>
      <w:r>
        <w:t>едставле</w:t>
      </w:r>
      <w:r w:rsidRPr="008829BF">
        <w:t xml:space="preserve">на в </w:t>
      </w:r>
      <w:r>
        <w:t>таблице 4.</w:t>
      </w:r>
    </w:p>
    <w:p w:rsidR="00C83EEA" w:rsidRPr="004F5610" w:rsidRDefault="00C83EEA" w:rsidP="00C83EEA">
      <w:pPr>
        <w:tabs>
          <w:tab w:val="left" w:pos="720"/>
        </w:tabs>
        <w:autoSpaceDE w:val="0"/>
        <w:autoSpaceDN w:val="0"/>
        <w:adjustRightInd w:val="0"/>
        <w:ind w:firstLine="709"/>
        <w:jc w:val="right"/>
      </w:pPr>
      <w:r>
        <w:t xml:space="preserve">Таблица 4 </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720"/>
        <w:gridCol w:w="720"/>
        <w:gridCol w:w="1080"/>
        <w:gridCol w:w="720"/>
        <w:gridCol w:w="720"/>
        <w:gridCol w:w="720"/>
        <w:gridCol w:w="720"/>
        <w:gridCol w:w="720"/>
        <w:gridCol w:w="720"/>
      </w:tblGrid>
      <w:tr w:rsidR="00C83EEA" w:rsidRPr="00B85C81" w:rsidTr="009F24E6">
        <w:trPr>
          <w:trHeight w:val="289"/>
        </w:trPr>
        <w:tc>
          <w:tcPr>
            <w:tcW w:w="2808" w:type="dxa"/>
            <w:vMerge w:val="restart"/>
            <w:vAlign w:val="center"/>
          </w:tcPr>
          <w:p w:rsidR="00C83EEA" w:rsidRPr="00686253" w:rsidRDefault="00C83EEA" w:rsidP="009F24E6">
            <w:pPr>
              <w:jc w:val="center"/>
              <w:rPr>
                <w:sz w:val="16"/>
                <w:szCs w:val="16"/>
              </w:rPr>
            </w:pPr>
            <w:r>
              <w:rPr>
                <w:sz w:val="16"/>
                <w:szCs w:val="16"/>
              </w:rPr>
              <w:t xml:space="preserve">Показатели </w:t>
            </w:r>
          </w:p>
        </w:tc>
        <w:tc>
          <w:tcPr>
            <w:tcW w:w="720" w:type="dxa"/>
            <w:vMerge w:val="restart"/>
            <w:vAlign w:val="center"/>
          </w:tcPr>
          <w:p w:rsidR="00C83EEA" w:rsidRPr="007F33CF" w:rsidRDefault="00C83EEA" w:rsidP="009F24E6">
            <w:pPr>
              <w:jc w:val="center"/>
              <w:rPr>
                <w:sz w:val="16"/>
                <w:szCs w:val="16"/>
              </w:rPr>
            </w:pPr>
            <w:r w:rsidRPr="007F33CF">
              <w:rPr>
                <w:sz w:val="16"/>
                <w:szCs w:val="16"/>
              </w:rPr>
              <w:t>201</w:t>
            </w:r>
            <w:r>
              <w:rPr>
                <w:sz w:val="16"/>
                <w:szCs w:val="16"/>
                <w:lang w:val="en-US"/>
              </w:rPr>
              <w:t>1</w:t>
            </w:r>
            <w:r w:rsidRPr="007F33CF">
              <w:rPr>
                <w:sz w:val="16"/>
                <w:szCs w:val="16"/>
              </w:rPr>
              <w:t xml:space="preserve"> год (о</w:t>
            </w:r>
            <w:r w:rsidRPr="007F33CF">
              <w:rPr>
                <w:sz w:val="16"/>
                <w:szCs w:val="16"/>
              </w:rPr>
              <w:t>т</w:t>
            </w:r>
            <w:r w:rsidRPr="007F33CF">
              <w:rPr>
                <w:sz w:val="16"/>
                <w:szCs w:val="16"/>
              </w:rPr>
              <w:t>чет)</w:t>
            </w:r>
          </w:p>
        </w:tc>
        <w:tc>
          <w:tcPr>
            <w:tcW w:w="1800" w:type="dxa"/>
            <w:gridSpan w:val="2"/>
            <w:vAlign w:val="center"/>
          </w:tcPr>
          <w:p w:rsidR="00C83EEA" w:rsidRPr="00686253" w:rsidRDefault="00C83EEA" w:rsidP="009F24E6">
            <w:pPr>
              <w:jc w:val="center"/>
              <w:rPr>
                <w:sz w:val="16"/>
                <w:szCs w:val="16"/>
              </w:rPr>
            </w:pPr>
            <w:r w:rsidRPr="00686253">
              <w:rPr>
                <w:sz w:val="16"/>
                <w:szCs w:val="16"/>
              </w:rPr>
              <w:t>201</w:t>
            </w:r>
            <w:r>
              <w:rPr>
                <w:sz w:val="16"/>
                <w:szCs w:val="16"/>
              </w:rPr>
              <w:t>2</w:t>
            </w:r>
            <w:r w:rsidRPr="00686253">
              <w:rPr>
                <w:sz w:val="16"/>
                <w:szCs w:val="16"/>
              </w:rPr>
              <w:t xml:space="preserve"> год</w:t>
            </w:r>
          </w:p>
        </w:tc>
        <w:tc>
          <w:tcPr>
            <w:tcW w:w="1440" w:type="dxa"/>
            <w:gridSpan w:val="2"/>
            <w:vAlign w:val="center"/>
          </w:tcPr>
          <w:p w:rsidR="00C83EEA" w:rsidRPr="00686253" w:rsidRDefault="00C83EEA" w:rsidP="009F24E6">
            <w:pPr>
              <w:jc w:val="center"/>
              <w:rPr>
                <w:sz w:val="16"/>
                <w:szCs w:val="16"/>
              </w:rPr>
            </w:pPr>
            <w:r w:rsidRPr="00686253">
              <w:rPr>
                <w:sz w:val="16"/>
                <w:szCs w:val="16"/>
              </w:rPr>
              <w:t>201</w:t>
            </w:r>
            <w:r>
              <w:rPr>
                <w:sz w:val="16"/>
                <w:szCs w:val="16"/>
              </w:rPr>
              <w:t>3</w:t>
            </w:r>
            <w:r w:rsidRPr="00686253">
              <w:rPr>
                <w:sz w:val="16"/>
                <w:szCs w:val="16"/>
              </w:rPr>
              <w:t xml:space="preserve"> год (пр</w:t>
            </w:r>
            <w:r w:rsidRPr="00686253">
              <w:rPr>
                <w:sz w:val="16"/>
                <w:szCs w:val="16"/>
              </w:rPr>
              <w:t>о</w:t>
            </w:r>
            <w:r w:rsidRPr="00686253">
              <w:rPr>
                <w:sz w:val="16"/>
                <w:szCs w:val="16"/>
              </w:rPr>
              <w:t>ект)</w:t>
            </w:r>
          </w:p>
        </w:tc>
        <w:tc>
          <w:tcPr>
            <w:tcW w:w="1440" w:type="dxa"/>
            <w:gridSpan w:val="2"/>
            <w:vAlign w:val="center"/>
          </w:tcPr>
          <w:p w:rsidR="00C83EEA" w:rsidRPr="00686253" w:rsidRDefault="00C83EEA" w:rsidP="009F24E6">
            <w:pPr>
              <w:jc w:val="center"/>
              <w:rPr>
                <w:sz w:val="16"/>
                <w:szCs w:val="16"/>
              </w:rPr>
            </w:pPr>
            <w:r w:rsidRPr="00686253">
              <w:rPr>
                <w:sz w:val="16"/>
                <w:szCs w:val="16"/>
              </w:rPr>
              <w:t>201</w:t>
            </w:r>
            <w:r>
              <w:rPr>
                <w:sz w:val="16"/>
                <w:szCs w:val="16"/>
              </w:rPr>
              <w:t>4</w:t>
            </w:r>
            <w:r w:rsidRPr="00686253">
              <w:rPr>
                <w:sz w:val="16"/>
                <w:szCs w:val="16"/>
              </w:rPr>
              <w:t xml:space="preserve"> год (пр</w:t>
            </w:r>
            <w:r w:rsidRPr="00686253">
              <w:rPr>
                <w:sz w:val="16"/>
                <w:szCs w:val="16"/>
              </w:rPr>
              <w:t>о</w:t>
            </w:r>
            <w:r w:rsidRPr="00686253">
              <w:rPr>
                <w:sz w:val="16"/>
                <w:szCs w:val="16"/>
              </w:rPr>
              <w:t>ект)</w:t>
            </w:r>
          </w:p>
        </w:tc>
        <w:tc>
          <w:tcPr>
            <w:tcW w:w="1440" w:type="dxa"/>
            <w:gridSpan w:val="2"/>
            <w:vAlign w:val="center"/>
          </w:tcPr>
          <w:p w:rsidR="00C83EEA" w:rsidRPr="00686253" w:rsidRDefault="00C83EEA" w:rsidP="009F24E6">
            <w:pPr>
              <w:jc w:val="center"/>
              <w:rPr>
                <w:sz w:val="16"/>
                <w:szCs w:val="16"/>
              </w:rPr>
            </w:pPr>
            <w:r w:rsidRPr="00686253">
              <w:rPr>
                <w:sz w:val="16"/>
                <w:szCs w:val="16"/>
              </w:rPr>
              <w:t>201</w:t>
            </w:r>
            <w:r>
              <w:rPr>
                <w:sz w:val="16"/>
                <w:szCs w:val="16"/>
              </w:rPr>
              <w:t>5</w:t>
            </w:r>
            <w:r w:rsidRPr="00686253">
              <w:rPr>
                <w:sz w:val="16"/>
                <w:szCs w:val="16"/>
              </w:rPr>
              <w:t xml:space="preserve"> год (пр</w:t>
            </w:r>
            <w:r w:rsidRPr="00686253">
              <w:rPr>
                <w:sz w:val="16"/>
                <w:szCs w:val="16"/>
              </w:rPr>
              <w:t>о</w:t>
            </w:r>
            <w:r w:rsidRPr="00686253">
              <w:rPr>
                <w:sz w:val="16"/>
                <w:szCs w:val="16"/>
              </w:rPr>
              <w:t>ект)</w:t>
            </w:r>
          </w:p>
        </w:tc>
      </w:tr>
      <w:tr w:rsidR="00C83EEA" w:rsidRPr="00B85C81" w:rsidTr="009F24E6">
        <w:trPr>
          <w:trHeight w:val="535"/>
        </w:trPr>
        <w:tc>
          <w:tcPr>
            <w:tcW w:w="2808" w:type="dxa"/>
            <w:vMerge/>
            <w:vAlign w:val="center"/>
          </w:tcPr>
          <w:p w:rsidR="00C83EEA" w:rsidRPr="00686253" w:rsidRDefault="00C83EEA" w:rsidP="009F24E6">
            <w:pPr>
              <w:jc w:val="center"/>
              <w:rPr>
                <w:sz w:val="16"/>
                <w:szCs w:val="16"/>
              </w:rPr>
            </w:pPr>
          </w:p>
        </w:tc>
        <w:tc>
          <w:tcPr>
            <w:tcW w:w="720" w:type="dxa"/>
            <w:vMerge/>
            <w:vAlign w:val="center"/>
          </w:tcPr>
          <w:p w:rsidR="00C83EEA" w:rsidRPr="007F33CF" w:rsidRDefault="00C83EEA" w:rsidP="009F24E6">
            <w:pPr>
              <w:jc w:val="center"/>
              <w:rPr>
                <w:sz w:val="16"/>
                <w:szCs w:val="16"/>
              </w:rPr>
            </w:pPr>
          </w:p>
        </w:tc>
        <w:tc>
          <w:tcPr>
            <w:tcW w:w="720" w:type="dxa"/>
            <w:vAlign w:val="center"/>
          </w:tcPr>
          <w:p w:rsidR="00C83EEA" w:rsidRPr="00686253" w:rsidRDefault="00C83EEA" w:rsidP="009F24E6">
            <w:pPr>
              <w:jc w:val="center"/>
              <w:rPr>
                <w:sz w:val="16"/>
                <w:szCs w:val="16"/>
              </w:rPr>
            </w:pPr>
            <w:r w:rsidRPr="00686253">
              <w:rPr>
                <w:sz w:val="16"/>
                <w:szCs w:val="16"/>
              </w:rPr>
              <w:t>план</w:t>
            </w:r>
          </w:p>
        </w:tc>
        <w:tc>
          <w:tcPr>
            <w:tcW w:w="1080" w:type="dxa"/>
            <w:vAlign w:val="center"/>
          </w:tcPr>
          <w:p w:rsidR="00C83EEA" w:rsidRPr="00686253" w:rsidRDefault="00C83EEA" w:rsidP="009F24E6">
            <w:pPr>
              <w:jc w:val="center"/>
              <w:rPr>
                <w:sz w:val="16"/>
                <w:szCs w:val="16"/>
              </w:rPr>
            </w:pPr>
            <w:proofErr w:type="spellStart"/>
            <w:r w:rsidRPr="00686253">
              <w:rPr>
                <w:sz w:val="16"/>
                <w:szCs w:val="16"/>
              </w:rPr>
              <w:t>ожид</w:t>
            </w:r>
            <w:proofErr w:type="spellEnd"/>
            <w:r w:rsidRPr="00686253">
              <w:rPr>
                <w:sz w:val="16"/>
                <w:szCs w:val="16"/>
              </w:rPr>
              <w:t xml:space="preserve">. </w:t>
            </w:r>
            <w:proofErr w:type="spellStart"/>
            <w:r w:rsidRPr="00686253">
              <w:rPr>
                <w:sz w:val="16"/>
                <w:szCs w:val="16"/>
              </w:rPr>
              <w:t>исп</w:t>
            </w:r>
            <w:proofErr w:type="spellEnd"/>
            <w:r w:rsidRPr="00686253">
              <w:rPr>
                <w:sz w:val="16"/>
                <w:szCs w:val="16"/>
              </w:rPr>
              <w:t xml:space="preserve">-е </w:t>
            </w:r>
          </w:p>
          <w:p w:rsidR="00C83EEA" w:rsidRPr="00686253" w:rsidRDefault="00C83EEA" w:rsidP="009F24E6">
            <w:pPr>
              <w:jc w:val="center"/>
              <w:rPr>
                <w:sz w:val="16"/>
                <w:szCs w:val="16"/>
              </w:rPr>
            </w:pPr>
            <w:proofErr w:type="spellStart"/>
            <w:r w:rsidRPr="00686253">
              <w:rPr>
                <w:sz w:val="16"/>
                <w:szCs w:val="16"/>
              </w:rPr>
              <w:t>т.р</w:t>
            </w:r>
            <w:proofErr w:type="spellEnd"/>
            <w:r w:rsidRPr="00686253">
              <w:rPr>
                <w:sz w:val="16"/>
                <w:szCs w:val="16"/>
              </w:rPr>
              <w:t>./ % к плану</w:t>
            </w:r>
          </w:p>
        </w:tc>
        <w:tc>
          <w:tcPr>
            <w:tcW w:w="720" w:type="dxa"/>
            <w:vAlign w:val="center"/>
          </w:tcPr>
          <w:p w:rsidR="00C83EEA" w:rsidRPr="00686253" w:rsidRDefault="00C83EEA" w:rsidP="009F24E6">
            <w:pPr>
              <w:jc w:val="center"/>
              <w:rPr>
                <w:sz w:val="16"/>
                <w:szCs w:val="16"/>
              </w:rPr>
            </w:pPr>
            <w:r w:rsidRPr="00686253">
              <w:rPr>
                <w:sz w:val="16"/>
                <w:szCs w:val="16"/>
              </w:rPr>
              <w:t>тыс. руб.</w:t>
            </w:r>
          </w:p>
        </w:tc>
        <w:tc>
          <w:tcPr>
            <w:tcW w:w="720" w:type="dxa"/>
            <w:vAlign w:val="center"/>
          </w:tcPr>
          <w:p w:rsidR="00C83EEA" w:rsidRPr="00686253" w:rsidRDefault="00C83EEA" w:rsidP="009F24E6">
            <w:pPr>
              <w:jc w:val="center"/>
              <w:rPr>
                <w:sz w:val="16"/>
                <w:szCs w:val="16"/>
              </w:rPr>
            </w:pPr>
            <w:r w:rsidRPr="00686253">
              <w:rPr>
                <w:sz w:val="16"/>
                <w:szCs w:val="16"/>
              </w:rPr>
              <w:t xml:space="preserve">к </w:t>
            </w:r>
            <w:proofErr w:type="spellStart"/>
            <w:r>
              <w:rPr>
                <w:sz w:val="16"/>
                <w:szCs w:val="16"/>
              </w:rPr>
              <w:t>ожид</w:t>
            </w:r>
            <w:proofErr w:type="spellEnd"/>
            <w:r>
              <w:rPr>
                <w:sz w:val="16"/>
                <w:szCs w:val="16"/>
              </w:rPr>
              <w:t xml:space="preserve">. </w:t>
            </w:r>
            <w:r w:rsidRPr="00686253">
              <w:rPr>
                <w:sz w:val="16"/>
                <w:szCs w:val="16"/>
              </w:rPr>
              <w:t>201</w:t>
            </w:r>
            <w:r>
              <w:rPr>
                <w:sz w:val="16"/>
                <w:szCs w:val="16"/>
              </w:rPr>
              <w:t>2</w:t>
            </w:r>
            <w:r w:rsidRPr="00686253">
              <w:rPr>
                <w:sz w:val="16"/>
                <w:szCs w:val="16"/>
              </w:rPr>
              <w:t xml:space="preserve"> </w:t>
            </w:r>
            <w:proofErr w:type="spellStart"/>
            <w:r w:rsidRPr="00686253">
              <w:rPr>
                <w:sz w:val="16"/>
                <w:szCs w:val="16"/>
              </w:rPr>
              <w:t>т.р</w:t>
            </w:r>
            <w:proofErr w:type="spellEnd"/>
            <w:r w:rsidRPr="00686253">
              <w:rPr>
                <w:sz w:val="16"/>
                <w:szCs w:val="16"/>
              </w:rPr>
              <w:t>. / %</w:t>
            </w:r>
          </w:p>
        </w:tc>
        <w:tc>
          <w:tcPr>
            <w:tcW w:w="720" w:type="dxa"/>
            <w:vAlign w:val="center"/>
          </w:tcPr>
          <w:p w:rsidR="00C83EEA" w:rsidRPr="00686253" w:rsidRDefault="00C83EEA" w:rsidP="009F24E6">
            <w:pPr>
              <w:jc w:val="center"/>
              <w:rPr>
                <w:sz w:val="16"/>
                <w:szCs w:val="16"/>
              </w:rPr>
            </w:pPr>
            <w:r w:rsidRPr="00686253">
              <w:rPr>
                <w:sz w:val="16"/>
                <w:szCs w:val="16"/>
              </w:rPr>
              <w:t>тыс. руб.</w:t>
            </w:r>
          </w:p>
        </w:tc>
        <w:tc>
          <w:tcPr>
            <w:tcW w:w="720" w:type="dxa"/>
            <w:vAlign w:val="center"/>
          </w:tcPr>
          <w:p w:rsidR="00C83EEA" w:rsidRPr="00686253" w:rsidRDefault="00C83EEA" w:rsidP="009F24E6">
            <w:pPr>
              <w:jc w:val="center"/>
              <w:rPr>
                <w:sz w:val="16"/>
                <w:szCs w:val="16"/>
              </w:rPr>
            </w:pPr>
            <w:r w:rsidRPr="00686253">
              <w:rPr>
                <w:sz w:val="16"/>
                <w:szCs w:val="16"/>
              </w:rPr>
              <w:t>к 201</w:t>
            </w:r>
            <w:r>
              <w:rPr>
                <w:sz w:val="16"/>
                <w:szCs w:val="16"/>
              </w:rPr>
              <w:t>3</w:t>
            </w:r>
            <w:r w:rsidRPr="00686253">
              <w:rPr>
                <w:sz w:val="16"/>
                <w:szCs w:val="16"/>
              </w:rPr>
              <w:t xml:space="preserve"> </w:t>
            </w:r>
          </w:p>
          <w:p w:rsidR="00C83EEA" w:rsidRPr="00686253" w:rsidRDefault="00C83EEA" w:rsidP="009F24E6">
            <w:pPr>
              <w:jc w:val="center"/>
              <w:rPr>
                <w:sz w:val="16"/>
                <w:szCs w:val="16"/>
              </w:rPr>
            </w:pPr>
            <w:proofErr w:type="spellStart"/>
            <w:r w:rsidRPr="00686253">
              <w:rPr>
                <w:sz w:val="16"/>
                <w:szCs w:val="16"/>
              </w:rPr>
              <w:t>т.р</w:t>
            </w:r>
            <w:proofErr w:type="spellEnd"/>
            <w:r w:rsidRPr="00686253">
              <w:rPr>
                <w:sz w:val="16"/>
                <w:szCs w:val="16"/>
              </w:rPr>
              <w:t>. / %</w:t>
            </w:r>
          </w:p>
        </w:tc>
        <w:tc>
          <w:tcPr>
            <w:tcW w:w="720" w:type="dxa"/>
            <w:vAlign w:val="center"/>
          </w:tcPr>
          <w:p w:rsidR="00C83EEA" w:rsidRPr="00686253" w:rsidRDefault="00C83EEA" w:rsidP="009F24E6">
            <w:pPr>
              <w:jc w:val="center"/>
              <w:rPr>
                <w:sz w:val="16"/>
                <w:szCs w:val="16"/>
              </w:rPr>
            </w:pPr>
            <w:r w:rsidRPr="00686253">
              <w:rPr>
                <w:sz w:val="16"/>
                <w:szCs w:val="16"/>
              </w:rPr>
              <w:t>тыс. руб.</w:t>
            </w:r>
          </w:p>
        </w:tc>
        <w:tc>
          <w:tcPr>
            <w:tcW w:w="720" w:type="dxa"/>
            <w:vAlign w:val="center"/>
          </w:tcPr>
          <w:p w:rsidR="00C83EEA" w:rsidRPr="00686253" w:rsidRDefault="00C83EEA" w:rsidP="009F24E6">
            <w:pPr>
              <w:jc w:val="center"/>
              <w:rPr>
                <w:sz w:val="16"/>
                <w:szCs w:val="16"/>
              </w:rPr>
            </w:pPr>
            <w:r w:rsidRPr="00686253">
              <w:rPr>
                <w:sz w:val="16"/>
                <w:szCs w:val="16"/>
              </w:rPr>
              <w:t>к 201</w:t>
            </w:r>
            <w:r>
              <w:rPr>
                <w:sz w:val="16"/>
                <w:szCs w:val="16"/>
              </w:rPr>
              <w:t>4</w:t>
            </w:r>
            <w:r w:rsidRPr="00686253">
              <w:rPr>
                <w:sz w:val="16"/>
                <w:szCs w:val="16"/>
              </w:rPr>
              <w:t xml:space="preserve"> </w:t>
            </w:r>
            <w:proofErr w:type="spellStart"/>
            <w:r w:rsidRPr="00686253">
              <w:rPr>
                <w:sz w:val="16"/>
                <w:szCs w:val="16"/>
              </w:rPr>
              <w:t>т.р</w:t>
            </w:r>
            <w:proofErr w:type="spellEnd"/>
            <w:r w:rsidRPr="00686253">
              <w:rPr>
                <w:sz w:val="16"/>
                <w:szCs w:val="16"/>
              </w:rPr>
              <w:t>. / %</w:t>
            </w:r>
          </w:p>
        </w:tc>
      </w:tr>
      <w:tr w:rsidR="00C83EEA" w:rsidRPr="00904A04" w:rsidTr="009F24E6">
        <w:trPr>
          <w:trHeight w:val="370"/>
        </w:trPr>
        <w:tc>
          <w:tcPr>
            <w:tcW w:w="2808" w:type="dxa"/>
          </w:tcPr>
          <w:p w:rsidR="00C83EEA" w:rsidRPr="00686253" w:rsidRDefault="00C83EEA" w:rsidP="009F24E6">
            <w:pPr>
              <w:rPr>
                <w:sz w:val="16"/>
                <w:szCs w:val="16"/>
              </w:rPr>
            </w:pPr>
            <w:r>
              <w:rPr>
                <w:sz w:val="16"/>
                <w:szCs w:val="16"/>
              </w:rPr>
              <w:t>Д</w:t>
            </w:r>
            <w:r w:rsidRPr="00686253">
              <w:rPr>
                <w:sz w:val="16"/>
                <w:szCs w:val="16"/>
              </w:rPr>
              <w:t>оходы в виде аренд</w:t>
            </w:r>
            <w:proofErr w:type="gramStart"/>
            <w:r w:rsidRPr="00686253">
              <w:rPr>
                <w:sz w:val="16"/>
                <w:szCs w:val="16"/>
              </w:rPr>
              <w:t>.</w:t>
            </w:r>
            <w:proofErr w:type="gramEnd"/>
            <w:r w:rsidRPr="00686253">
              <w:rPr>
                <w:sz w:val="16"/>
                <w:szCs w:val="16"/>
              </w:rPr>
              <w:t xml:space="preserve"> </w:t>
            </w:r>
            <w:proofErr w:type="gramStart"/>
            <w:r>
              <w:rPr>
                <w:sz w:val="16"/>
                <w:szCs w:val="16"/>
              </w:rPr>
              <w:t>п</w:t>
            </w:r>
            <w:proofErr w:type="gramEnd"/>
            <w:r w:rsidRPr="00686253">
              <w:rPr>
                <w:sz w:val="16"/>
                <w:szCs w:val="16"/>
              </w:rPr>
              <w:t>латы</w:t>
            </w:r>
            <w:r>
              <w:rPr>
                <w:sz w:val="16"/>
                <w:szCs w:val="16"/>
              </w:rPr>
              <w:t xml:space="preserve"> за </w:t>
            </w:r>
            <w:proofErr w:type="spellStart"/>
            <w:r>
              <w:rPr>
                <w:sz w:val="16"/>
                <w:szCs w:val="16"/>
              </w:rPr>
              <w:t>з</w:t>
            </w:r>
            <w:r>
              <w:rPr>
                <w:sz w:val="16"/>
                <w:szCs w:val="16"/>
              </w:rPr>
              <w:t>е</w:t>
            </w:r>
            <w:r>
              <w:rPr>
                <w:sz w:val="16"/>
                <w:szCs w:val="16"/>
              </w:rPr>
              <w:t>ме-льные</w:t>
            </w:r>
            <w:proofErr w:type="spellEnd"/>
            <w:r>
              <w:rPr>
                <w:sz w:val="16"/>
                <w:szCs w:val="16"/>
              </w:rPr>
              <w:t xml:space="preserve"> участки</w:t>
            </w:r>
            <w:r w:rsidRPr="00686253">
              <w:rPr>
                <w:sz w:val="16"/>
                <w:szCs w:val="16"/>
              </w:rPr>
              <w:t>, а также средства от продажи права на заключение дог</w:t>
            </w:r>
            <w:r w:rsidRPr="00686253">
              <w:rPr>
                <w:sz w:val="16"/>
                <w:szCs w:val="16"/>
              </w:rPr>
              <w:t>о</w:t>
            </w:r>
            <w:r w:rsidRPr="00686253">
              <w:rPr>
                <w:sz w:val="16"/>
                <w:szCs w:val="16"/>
              </w:rPr>
              <w:t xml:space="preserve">воров аренды </w:t>
            </w:r>
            <w:r>
              <w:rPr>
                <w:sz w:val="16"/>
                <w:szCs w:val="16"/>
              </w:rPr>
              <w:t>- всего, из них:</w:t>
            </w:r>
          </w:p>
        </w:tc>
        <w:tc>
          <w:tcPr>
            <w:tcW w:w="720" w:type="dxa"/>
            <w:vAlign w:val="center"/>
          </w:tcPr>
          <w:p w:rsidR="00C83EEA" w:rsidRPr="007F33CF" w:rsidRDefault="00C83EEA" w:rsidP="009F24E6">
            <w:pPr>
              <w:ind w:left="-108"/>
              <w:jc w:val="right"/>
              <w:rPr>
                <w:sz w:val="16"/>
                <w:szCs w:val="16"/>
              </w:rPr>
            </w:pPr>
            <w:r>
              <w:rPr>
                <w:sz w:val="16"/>
                <w:szCs w:val="16"/>
              </w:rPr>
              <w:t>101 033</w:t>
            </w:r>
          </w:p>
        </w:tc>
        <w:tc>
          <w:tcPr>
            <w:tcW w:w="720" w:type="dxa"/>
            <w:vAlign w:val="center"/>
          </w:tcPr>
          <w:p w:rsidR="00C83EEA" w:rsidRPr="007F33CF" w:rsidRDefault="00C83EEA" w:rsidP="009F24E6">
            <w:pPr>
              <w:ind w:right="-108"/>
              <w:rPr>
                <w:sz w:val="16"/>
                <w:szCs w:val="16"/>
              </w:rPr>
            </w:pPr>
            <w:r>
              <w:rPr>
                <w:sz w:val="16"/>
                <w:szCs w:val="16"/>
              </w:rPr>
              <w:t>117 648</w:t>
            </w:r>
          </w:p>
        </w:tc>
        <w:tc>
          <w:tcPr>
            <w:tcW w:w="1080" w:type="dxa"/>
            <w:vAlign w:val="center"/>
          </w:tcPr>
          <w:p w:rsidR="00C83EEA" w:rsidRPr="007F33CF" w:rsidRDefault="00C83EEA" w:rsidP="009F24E6">
            <w:pPr>
              <w:jc w:val="center"/>
              <w:rPr>
                <w:sz w:val="16"/>
                <w:szCs w:val="16"/>
              </w:rPr>
            </w:pPr>
            <w:r w:rsidRPr="007F33CF">
              <w:rPr>
                <w:sz w:val="16"/>
                <w:szCs w:val="16"/>
              </w:rPr>
              <w:t>1</w:t>
            </w:r>
            <w:r>
              <w:rPr>
                <w:sz w:val="16"/>
                <w:szCs w:val="16"/>
              </w:rPr>
              <w:t>25</w:t>
            </w:r>
            <w:r w:rsidRPr="007F33CF">
              <w:rPr>
                <w:sz w:val="16"/>
                <w:szCs w:val="16"/>
              </w:rPr>
              <w:t xml:space="preserve"> </w:t>
            </w:r>
            <w:r>
              <w:rPr>
                <w:sz w:val="16"/>
                <w:szCs w:val="16"/>
              </w:rPr>
              <w:t>571</w:t>
            </w:r>
          </w:p>
          <w:p w:rsidR="00C83EEA" w:rsidRPr="007F33CF" w:rsidRDefault="00C83EEA" w:rsidP="009F24E6">
            <w:pPr>
              <w:jc w:val="center"/>
              <w:rPr>
                <w:sz w:val="16"/>
                <w:szCs w:val="16"/>
              </w:rPr>
            </w:pPr>
            <w:r>
              <w:rPr>
                <w:sz w:val="16"/>
                <w:szCs w:val="16"/>
              </w:rPr>
              <w:t>106,7%</w:t>
            </w:r>
          </w:p>
        </w:tc>
        <w:tc>
          <w:tcPr>
            <w:tcW w:w="720" w:type="dxa"/>
            <w:vAlign w:val="center"/>
          </w:tcPr>
          <w:p w:rsidR="00C83EEA" w:rsidRPr="007F33CF" w:rsidRDefault="00C83EEA" w:rsidP="009F24E6">
            <w:pPr>
              <w:ind w:left="-108"/>
              <w:jc w:val="right"/>
              <w:rPr>
                <w:sz w:val="16"/>
                <w:szCs w:val="16"/>
              </w:rPr>
            </w:pPr>
            <w:r>
              <w:rPr>
                <w:sz w:val="16"/>
                <w:szCs w:val="16"/>
              </w:rPr>
              <w:t>142 119</w:t>
            </w:r>
          </w:p>
        </w:tc>
        <w:tc>
          <w:tcPr>
            <w:tcW w:w="720" w:type="dxa"/>
            <w:vAlign w:val="center"/>
          </w:tcPr>
          <w:p w:rsidR="00C83EEA" w:rsidRPr="007F33CF" w:rsidRDefault="00C83EEA" w:rsidP="009F24E6">
            <w:pPr>
              <w:jc w:val="center"/>
              <w:rPr>
                <w:sz w:val="16"/>
                <w:szCs w:val="16"/>
              </w:rPr>
            </w:pPr>
            <w:r>
              <w:rPr>
                <w:sz w:val="16"/>
                <w:szCs w:val="16"/>
              </w:rPr>
              <w:t>16 548</w:t>
            </w:r>
          </w:p>
          <w:p w:rsidR="00C83EEA" w:rsidRPr="007F33CF" w:rsidRDefault="00C83EEA" w:rsidP="009F24E6">
            <w:pPr>
              <w:jc w:val="center"/>
              <w:rPr>
                <w:sz w:val="16"/>
                <w:szCs w:val="16"/>
              </w:rPr>
            </w:pPr>
            <w:r>
              <w:rPr>
                <w:sz w:val="16"/>
                <w:szCs w:val="16"/>
              </w:rPr>
              <w:t>113,2%</w:t>
            </w:r>
          </w:p>
        </w:tc>
        <w:tc>
          <w:tcPr>
            <w:tcW w:w="720" w:type="dxa"/>
            <w:vAlign w:val="center"/>
          </w:tcPr>
          <w:p w:rsidR="00C83EEA" w:rsidRPr="007F33CF" w:rsidRDefault="00C83EEA" w:rsidP="009F24E6">
            <w:pPr>
              <w:ind w:right="-108"/>
              <w:jc w:val="center"/>
              <w:rPr>
                <w:sz w:val="16"/>
                <w:szCs w:val="16"/>
              </w:rPr>
            </w:pPr>
            <w:r w:rsidRPr="007F33CF">
              <w:rPr>
                <w:sz w:val="16"/>
                <w:szCs w:val="16"/>
              </w:rPr>
              <w:t>1</w:t>
            </w:r>
            <w:r>
              <w:rPr>
                <w:sz w:val="16"/>
                <w:szCs w:val="16"/>
              </w:rPr>
              <w:t>4</w:t>
            </w:r>
            <w:r w:rsidRPr="007F33CF">
              <w:rPr>
                <w:sz w:val="16"/>
                <w:szCs w:val="16"/>
              </w:rPr>
              <w:t xml:space="preserve">9 </w:t>
            </w:r>
            <w:r>
              <w:rPr>
                <w:sz w:val="16"/>
                <w:szCs w:val="16"/>
              </w:rPr>
              <w:t>450</w:t>
            </w:r>
          </w:p>
        </w:tc>
        <w:tc>
          <w:tcPr>
            <w:tcW w:w="720" w:type="dxa"/>
            <w:vAlign w:val="center"/>
          </w:tcPr>
          <w:p w:rsidR="00C83EEA" w:rsidRPr="007F33CF" w:rsidRDefault="00C83EEA" w:rsidP="009F24E6">
            <w:pPr>
              <w:jc w:val="center"/>
              <w:rPr>
                <w:sz w:val="16"/>
                <w:szCs w:val="16"/>
              </w:rPr>
            </w:pPr>
            <w:r>
              <w:rPr>
                <w:sz w:val="16"/>
                <w:szCs w:val="16"/>
              </w:rPr>
              <w:t>7 331</w:t>
            </w:r>
          </w:p>
          <w:p w:rsidR="00C83EEA" w:rsidRPr="007F33CF" w:rsidRDefault="00C83EEA" w:rsidP="009F24E6">
            <w:pPr>
              <w:jc w:val="center"/>
              <w:rPr>
                <w:sz w:val="16"/>
                <w:szCs w:val="16"/>
              </w:rPr>
            </w:pPr>
            <w:r>
              <w:rPr>
                <w:sz w:val="16"/>
                <w:szCs w:val="16"/>
              </w:rPr>
              <w:t>105,2%</w:t>
            </w:r>
          </w:p>
        </w:tc>
        <w:tc>
          <w:tcPr>
            <w:tcW w:w="720" w:type="dxa"/>
            <w:vAlign w:val="center"/>
          </w:tcPr>
          <w:p w:rsidR="00C83EEA" w:rsidRPr="007F33CF" w:rsidRDefault="00C83EEA" w:rsidP="009F24E6">
            <w:pPr>
              <w:ind w:left="-108"/>
              <w:jc w:val="right"/>
              <w:rPr>
                <w:sz w:val="16"/>
                <w:szCs w:val="16"/>
              </w:rPr>
            </w:pPr>
            <w:r w:rsidRPr="007F33CF">
              <w:rPr>
                <w:sz w:val="16"/>
                <w:szCs w:val="16"/>
              </w:rPr>
              <w:t>1</w:t>
            </w:r>
            <w:r>
              <w:rPr>
                <w:sz w:val="16"/>
                <w:szCs w:val="16"/>
              </w:rPr>
              <w:t>49 109</w:t>
            </w:r>
          </w:p>
        </w:tc>
        <w:tc>
          <w:tcPr>
            <w:tcW w:w="720" w:type="dxa"/>
            <w:vAlign w:val="center"/>
          </w:tcPr>
          <w:p w:rsidR="00C83EEA" w:rsidRPr="007F33CF" w:rsidRDefault="00C83EEA" w:rsidP="009F24E6">
            <w:pPr>
              <w:jc w:val="center"/>
              <w:rPr>
                <w:sz w:val="16"/>
                <w:szCs w:val="16"/>
              </w:rPr>
            </w:pPr>
            <w:r>
              <w:rPr>
                <w:sz w:val="16"/>
                <w:szCs w:val="16"/>
              </w:rPr>
              <w:t>-341</w:t>
            </w:r>
          </w:p>
          <w:p w:rsidR="00C83EEA" w:rsidRPr="007F33CF" w:rsidRDefault="00C83EEA" w:rsidP="009F24E6">
            <w:pPr>
              <w:jc w:val="center"/>
              <w:rPr>
                <w:sz w:val="16"/>
                <w:szCs w:val="16"/>
              </w:rPr>
            </w:pPr>
            <w:r>
              <w:rPr>
                <w:sz w:val="16"/>
                <w:szCs w:val="16"/>
              </w:rPr>
              <w:t>99,8%</w:t>
            </w:r>
          </w:p>
        </w:tc>
      </w:tr>
      <w:tr w:rsidR="00C83EEA" w:rsidRPr="00904A04" w:rsidTr="009F24E6">
        <w:trPr>
          <w:trHeight w:val="444"/>
        </w:trPr>
        <w:tc>
          <w:tcPr>
            <w:tcW w:w="2808" w:type="dxa"/>
          </w:tcPr>
          <w:p w:rsidR="00C83EEA" w:rsidRPr="00686253" w:rsidRDefault="00C83EEA" w:rsidP="009F24E6">
            <w:pPr>
              <w:ind w:right="-108"/>
              <w:rPr>
                <w:sz w:val="16"/>
                <w:szCs w:val="16"/>
              </w:rPr>
            </w:pPr>
            <w:r w:rsidRPr="00686253">
              <w:rPr>
                <w:sz w:val="16"/>
                <w:szCs w:val="16"/>
              </w:rPr>
              <w:t>- зем</w:t>
            </w:r>
            <w:r>
              <w:rPr>
                <w:sz w:val="16"/>
                <w:szCs w:val="16"/>
              </w:rPr>
              <w:t>ельные</w:t>
            </w:r>
            <w:r w:rsidRPr="00686253">
              <w:rPr>
                <w:sz w:val="16"/>
                <w:szCs w:val="16"/>
              </w:rPr>
              <w:t xml:space="preserve"> участк</w:t>
            </w:r>
            <w:r>
              <w:rPr>
                <w:sz w:val="16"/>
                <w:szCs w:val="16"/>
              </w:rPr>
              <w:t>и</w:t>
            </w:r>
            <w:r w:rsidRPr="00686253">
              <w:rPr>
                <w:sz w:val="16"/>
                <w:szCs w:val="16"/>
              </w:rPr>
              <w:t>, гос</w:t>
            </w:r>
            <w:r>
              <w:rPr>
                <w:sz w:val="16"/>
                <w:szCs w:val="16"/>
              </w:rPr>
              <w:t>ударственная</w:t>
            </w:r>
            <w:r w:rsidRPr="00686253">
              <w:rPr>
                <w:sz w:val="16"/>
                <w:szCs w:val="16"/>
              </w:rPr>
              <w:t xml:space="preserve"> собств</w:t>
            </w:r>
            <w:r>
              <w:rPr>
                <w:sz w:val="16"/>
                <w:szCs w:val="16"/>
              </w:rPr>
              <w:t>еннос</w:t>
            </w:r>
            <w:r w:rsidRPr="00686253">
              <w:rPr>
                <w:sz w:val="16"/>
                <w:szCs w:val="16"/>
              </w:rPr>
              <w:t>ть на которые не разгранич</w:t>
            </w:r>
            <w:r w:rsidRPr="00686253">
              <w:rPr>
                <w:sz w:val="16"/>
                <w:szCs w:val="16"/>
              </w:rPr>
              <w:t>е</w:t>
            </w:r>
            <w:r w:rsidRPr="00686253">
              <w:rPr>
                <w:sz w:val="16"/>
                <w:szCs w:val="16"/>
              </w:rPr>
              <w:t xml:space="preserve">на </w:t>
            </w:r>
          </w:p>
        </w:tc>
        <w:tc>
          <w:tcPr>
            <w:tcW w:w="720" w:type="dxa"/>
            <w:vAlign w:val="center"/>
          </w:tcPr>
          <w:p w:rsidR="00C83EEA" w:rsidRPr="007F33CF" w:rsidRDefault="00C83EEA" w:rsidP="009F24E6">
            <w:pPr>
              <w:ind w:left="-108"/>
              <w:jc w:val="right"/>
              <w:rPr>
                <w:sz w:val="16"/>
                <w:szCs w:val="16"/>
              </w:rPr>
            </w:pPr>
            <w:r>
              <w:rPr>
                <w:sz w:val="16"/>
                <w:szCs w:val="16"/>
              </w:rPr>
              <w:t>93 818</w:t>
            </w:r>
          </w:p>
        </w:tc>
        <w:tc>
          <w:tcPr>
            <w:tcW w:w="720" w:type="dxa"/>
            <w:vAlign w:val="center"/>
          </w:tcPr>
          <w:p w:rsidR="00C83EEA" w:rsidRPr="007F33CF" w:rsidRDefault="00C83EEA" w:rsidP="009F24E6">
            <w:pPr>
              <w:ind w:right="-108"/>
              <w:rPr>
                <w:sz w:val="16"/>
                <w:szCs w:val="16"/>
              </w:rPr>
            </w:pPr>
            <w:r>
              <w:rPr>
                <w:sz w:val="16"/>
                <w:szCs w:val="16"/>
              </w:rPr>
              <w:t>94 410</w:t>
            </w:r>
          </w:p>
        </w:tc>
        <w:tc>
          <w:tcPr>
            <w:tcW w:w="1080" w:type="dxa"/>
            <w:vAlign w:val="center"/>
          </w:tcPr>
          <w:p w:rsidR="00C83EEA" w:rsidRPr="007F33CF" w:rsidRDefault="00C83EEA" w:rsidP="009F24E6">
            <w:pPr>
              <w:jc w:val="center"/>
              <w:rPr>
                <w:sz w:val="16"/>
                <w:szCs w:val="16"/>
              </w:rPr>
            </w:pPr>
            <w:r>
              <w:rPr>
                <w:sz w:val="16"/>
                <w:szCs w:val="16"/>
              </w:rPr>
              <w:t>118 171</w:t>
            </w:r>
          </w:p>
          <w:p w:rsidR="00C83EEA" w:rsidRPr="007F33CF" w:rsidRDefault="00C83EEA" w:rsidP="009F24E6">
            <w:pPr>
              <w:jc w:val="center"/>
              <w:rPr>
                <w:sz w:val="16"/>
                <w:szCs w:val="16"/>
              </w:rPr>
            </w:pPr>
            <w:r>
              <w:rPr>
                <w:sz w:val="16"/>
                <w:szCs w:val="16"/>
              </w:rPr>
              <w:t>125,2%</w:t>
            </w:r>
          </w:p>
        </w:tc>
        <w:tc>
          <w:tcPr>
            <w:tcW w:w="720" w:type="dxa"/>
            <w:vAlign w:val="center"/>
          </w:tcPr>
          <w:p w:rsidR="00C83EEA" w:rsidRPr="007F33CF" w:rsidRDefault="00C83EEA" w:rsidP="009F24E6">
            <w:pPr>
              <w:ind w:left="-108"/>
              <w:jc w:val="right"/>
              <w:rPr>
                <w:sz w:val="16"/>
                <w:szCs w:val="16"/>
              </w:rPr>
            </w:pPr>
            <w:r>
              <w:rPr>
                <w:sz w:val="16"/>
                <w:szCs w:val="16"/>
              </w:rPr>
              <w:t>125 648</w:t>
            </w:r>
          </w:p>
        </w:tc>
        <w:tc>
          <w:tcPr>
            <w:tcW w:w="720" w:type="dxa"/>
            <w:vAlign w:val="center"/>
          </w:tcPr>
          <w:p w:rsidR="00C83EEA" w:rsidRPr="007F33CF" w:rsidRDefault="00C83EEA" w:rsidP="009F24E6">
            <w:pPr>
              <w:jc w:val="center"/>
              <w:rPr>
                <w:sz w:val="16"/>
                <w:szCs w:val="16"/>
              </w:rPr>
            </w:pPr>
            <w:r>
              <w:rPr>
                <w:sz w:val="16"/>
                <w:szCs w:val="16"/>
              </w:rPr>
              <w:t>7 477</w:t>
            </w:r>
          </w:p>
          <w:p w:rsidR="00C83EEA" w:rsidRPr="007F33CF" w:rsidRDefault="00C83EEA" w:rsidP="009F24E6">
            <w:pPr>
              <w:jc w:val="center"/>
              <w:rPr>
                <w:sz w:val="16"/>
                <w:szCs w:val="16"/>
              </w:rPr>
            </w:pPr>
            <w:r w:rsidRPr="007F33CF">
              <w:rPr>
                <w:sz w:val="16"/>
                <w:szCs w:val="16"/>
              </w:rPr>
              <w:t>106,</w:t>
            </w:r>
            <w:r>
              <w:rPr>
                <w:sz w:val="16"/>
                <w:szCs w:val="16"/>
              </w:rPr>
              <w:t>3%</w:t>
            </w:r>
          </w:p>
        </w:tc>
        <w:tc>
          <w:tcPr>
            <w:tcW w:w="720" w:type="dxa"/>
            <w:vAlign w:val="center"/>
          </w:tcPr>
          <w:p w:rsidR="00C83EEA" w:rsidRPr="007F33CF" w:rsidRDefault="00C83EEA" w:rsidP="009F24E6">
            <w:pPr>
              <w:ind w:right="-108"/>
              <w:jc w:val="center"/>
              <w:rPr>
                <w:sz w:val="16"/>
                <w:szCs w:val="16"/>
              </w:rPr>
            </w:pPr>
            <w:r>
              <w:rPr>
                <w:sz w:val="16"/>
                <w:szCs w:val="16"/>
              </w:rPr>
              <w:t>132 616</w:t>
            </w:r>
          </w:p>
        </w:tc>
        <w:tc>
          <w:tcPr>
            <w:tcW w:w="720" w:type="dxa"/>
            <w:vAlign w:val="center"/>
          </w:tcPr>
          <w:p w:rsidR="00C83EEA" w:rsidRPr="007F33CF" w:rsidRDefault="00C83EEA" w:rsidP="009F24E6">
            <w:pPr>
              <w:jc w:val="center"/>
              <w:rPr>
                <w:sz w:val="16"/>
                <w:szCs w:val="16"/>
              </w:rPr>
            </w:pPr>
            <w:r>
              <w:rPr>
                <w:sz w:val="16"/>
                <w:szCs w:val="16"/>
              </w:rPr>
              <w:t>6 968</w:t>
            </w:r>
          </w:p>
          <w:p w:rsidR="00C83EEA" w:rsidRPr="007F33CF" w:rsidRDefault="00C83EEA" w:rsidP="009F24E6">
            <w:pPr>
              <w:jc w:val="center"/>
              <w:rPr>
                <w:sz w:val="16"/>
                <w:szCs w:val="16"/>
              </w:rPr>
            </w:pPr>
            <w:r w:rsidRPr="007F33CF">
              <w:rPr>
                <w:sz w:val="16"/>
                <w:szCs w:val="16"/>
              </w:rPr>
              <w:t>105,</w:t>
            </w:r>
            <w:r>
              <w:rPr>
                <w:sz w:val="16"/>
                <w:szCs w:val="16"/>
              </w:rPr>
              <w:t>5%</w:t>
            </w:r>
          </w:p>
        </w:tc>
        <w:tc>
          <w:tcPr>
            <w:tcW w:w="720" w:type="dxa"/>
            <w:vAlign w:val="center"/>
          </w:tcPr>
          <w:p w:rsidR="00C83EEA" w:rsidRPr="007F33CF" w:rsidRDefault="00C83EEA" w:rsidP="009F24E6">
            <w:pPr>
              <w:ind w:left="-108"/>
              <w:jc w:val="right"/>
              <w:rPr>
                <w:sz w:val="16"/>
                <w:szCs w:val="16"/>
              </w:rPr>
            </w:pPr>
            <w:r>
              <w:rPr>
                <w:sz w:val="16"/>
                <w:szCs w:val="16"/>
              </w:rPr>
              <w:t>139 186</w:t>
            </w:r>
          </w:p>
        </w:tc>
        <w:tc>
          <w:tcPr>
            <w:tcW w:w="720" w:type="dxa"/>
            <w:vAlign w:val="center"/>
          </w:tcPr>
          <w:p w:rsidR="00C83EEA" w:rsidRPr="007F33CF" w:rsidRDefault="00C83EEA" w:rsidP="009F24E6">
            <w:pPr>
              <w:jc w:val="center"/>
              <w:rPr>
                <w:sz w:val="16"/>
                <w:szCs w:val="16"/>
              </w:rPr>
            </w:pPr>
            <w:r>
              <w:rPr>
                <w:sz w:val="16"/>
                <w:szCs w:val="16"/>
              </w:rPr>
              <w:t>6 570</w:t>
            </w:r>
          </w:p>
          <w:p w:rsidR="00C83EEA" w:rsidRPr="007F33CF" w:rsidRDefault="00C83EEA" w:rsidP="009F24E6">
            <w:pPr>
              <w:jc w:val="center"/>
              <w:rPr>
                <w:sz w:val="16"/>
                <w:szCs w:val="16"/>
              </w:rPr>
            </w:pPr>
            <w:r w:rsidRPr="007F33CF">
              <w:rPr>
                <w:sz w:val="16"/>
                <w:szCs w:val="16"/>
              </w:rPr>
              <w:t>105,</w:t>
            </w:r>
            <w:r>
              <w:rPr>
                <w:sz w:val="16"/>
                <w:szCs w:val="16"/>
              </w:rPr>
              <w:t>0%</w:t>
            </w:r>
          </w:p>
        </w:tc>
      </w:tr>
      <w:tr w:rsidR="00C83EEA" w:rsidRPr="00904A04" w:rsidTr="009F24E6">
        <w:trPr>
          <w:trHeight w:val="271"/>
        </w:trPr>
        <w:tc>
          <w:tcPr>
            <w:tcW w:w="2808" w:type="dxa"/>
          </w:tcPr>
          <w:p w:rsidR="00C83EEA" w:rsidRPr="00686253" w:rsidRDefault="00C83EEA" w:rsidP="009F24E6">
            <w:pPr>
              <w:ind w:right="-108"/>
              <w:rPr>
                <w:sz w:val="16"/>
                <w:szCs w:val="16"/>
              </w:rPr>
            </w:pPr>
            <w:r w:rsidRPr="00686253">
              <w:rPr>
                <w:sz w:val="16"/>
                <w:szCs w:val="16"/>
              </w:rPr>
              <w:t>- зем</w:t>
            </w:r>
            <w:r>
              <w:rPr>
                <w:sz w:val="16"/>
                <w:szCs w:val="16"/>
              </w:rPr>
              <w:t>ельные</w:t>
            </w:r>
            <w:r w:rsidRPr="00686253">
              <w:rPr>
                <w:sz w:val="16"/>
                <w:szCs w:val="16"/>
              </w:rPr>
              <w:t xml:space="preserve"> участк</w:t>
            </w:r>
            <w:r>
              <w:rPr>
                <w:sz w:val="16"/>
                <w:szCs w:val="16"/>
              </w:rPr>
              <w:t>и</w:t>
            </w:r>
            <w:r w:rsidRPr="00686253">
              <w:rPr>
                <w:sz w:val="16"/>
                <w:szCs w:val="16"/>
              </w:rPr>
              <w:t>, находящи</w:t>
            </w:r>
            <w:r>
              <w:rPr>
                <w:sz w:val="16"/>
                <w:szCs w:val="16"/>
              </w:rPr>
              <w:t>е</w:t>
            </w:r>
            <w:r w:rsidRPr="00686253">
              <w:rPr>
                <w:sz w:val="16"/>
                <w:szCs w:val="16"/>
              </w:rPr>
              <w:t>ся в со</w:t>
            </w:r>
            <w:r w:rsidRPr="00686253">
              <w:rPr>
                <w:sz w:val="16"/>
                <w:szCs w:val="16"/>
              </w:rPr>
              <w:t>б</w:t>
            </w:r>
            <w:r w:rsidRPr="00686253">
              <w:rPr>
                <w:sz w:val="16"/>
                <w:szCs w:val="16"/>
              </w:rPr>
              <w:t>ст</w:t>
            </w:r>
            <w:r>
              <w:rPr>
                <w:sz w:val="16"/>
                <w:szCs w:val="16"/>
              </w:rPr>
              <w:t>веннос</w:t>
            </w:r>
            <w:r w:rsidRPr="00686253">
              <w:rPr>
                <w:sz w:val="16"/>
                <w:szCs w:val="16"/>
              </w:rPr>
              <w:t>ти Томской области</w:t>
            </w:r>
          </w:p>
        </w:tc>
        <w:tc>
          <w:tcPr>
            <w:tcW w:w="720" w:type="dxa"/>
            <w:vAlign w:val="center"/>
          </w:tcPr>
          <w:p w:rsidR="00C83EEA" w:rsidRPr="007F33CF" w:rsidRDefault="00C83EEA" w:rsidP="009F24E6">
            <w:pPr>
              <w:ind w:left="-108"/>
              <w:jc w:val="right"/>
              <w:rPr>
                <w:sz w:val="16"/>
                <w:szCs w:val="16"/>
              </w:rPr>
            </w:pPr>
            <w:r>
              <w:rPr>
                <w:sz w:val="16"/>
                <w:szCs w:val="16"/>
              </w:rPr>
              <w:t>7 215</w:t>
            </w:r>
          </w:p>
        </w:tc>
        <w:tc>
          <w:tcPr>
            <w:tcW w:w="720" w:type="dxa"/>
            <w:vAlign w:val="center"/>
          </w:tcPr>
          <w:p w:rsidR="00C83EEA" w:rsidRPr="007F33CF" w:rsidRDefault="00C83EEA" w:rsidP="009F24E6">
            <w:pPr>
              <w:jc w:val="center"/>
              <w:rPr>
                <w:sz w:val="16"/>
                <w:szCs w:val="16"/>
              </w:rPr>
            </w:pPr>
            <w:r>
              <w:rPr>
                <w:sz w:val="16"/>
                <w:szCs w:val="16"/>
              </w:rPr>
              <w:t>8 930</w:t>
            </w:r>
          </w:p>
        </w:tc>
        <w:tc>
          <w:tcPr>
            <w:tcW w:w="1080" w:type="dxa"/>
            <w:vAlign w:val="center"/>
          </w:tcPr>
          <w:p w:rsidR="00C83EEA" w:rsidRPr="007F33CF" w:rsidRDefault="00C83EEA" w:rsidP="009F24E6">
            <w:pPr>
              <w:jc w:val="center"/>
              <w:rPr>
                <w:sz w:val="16"/>
                <w:szCs w:val="16"/>
              </w:rPr>
            </w:pPr>
            <w:r>
              <w:rPr>
                <w:sz w:val="16"/>
                <w:szCs w:val="16"/>
              </w:rPr>
              <w:t>7 400</w:t>
            </w:r>
          </w:p>
          <w:p w:rsidR="00C83EEA" w:rsidRPr="007F33CF" w:rsidRDefault="00C83EEA" w:rsidP="009F24E6">
            <w:pPr>
              <w:jc w:val="center"/>
              <w:rPr>
                <w:sz w:val="16"/>
                <w:szCs w:val="16"/>
              </w:rPr>
            </w:pPr>
            <w:r>
              <w:rPr>
                <w:sz w:val="16"/>
                <w:szCs w:val="16"/>
              </w:rPr>
              <w:t>82,9%</w:t>
            </w:r>
          </w:p>
        </w:tc>
        <w:tc>
          <w:tcPr>
            <w:tcW w:w="720" w:type="dxa"/>
            <w:vAlign w:val="center"/>
          </w:tcPr>
          <w:p w:rsidR="00C83EEA" w:rsidRPr="007F33CF" w:rsidRDefault="00C83EEA" w:rsidP="009F24E6">
            <w:pPr>
              <w:ind w:left="-108"/>
              <w:jc w:val="right"/>
              <w:rPr>
                <w:sz w:val="16"/>
                <w:szCs w:val="16"/>
              </w:rPr>
            </w:pPr>
            <w:r>
              <w:rPr>
                <w:sz w:val="16"/>
                <w:szCs w:val="16"/>
              </w:rPr>
              <w:t>9 317</w:t>
            </w:r>
          </w:p>
        </w:tc>
        <w:tc>
          <w:tcPr>
            <w:tcW w:w="720" w:type="dxa"/>
            <w:vAlign w:val="center"/>
          </w:tcPr>
          <w:p w:rsidR="00C83EEA" w:rsidRPr="007F33CF" w:rsidRDefault="00C83EEA" w:rsidP="009F24E6">
            <w:pPr>
              <w:jc w:val="center"/>
              <w:rPr>
                <w:sz w:val="16"/>
                <w:szCs w:val="16"/>
              </w:rPr>
            </w:pPr>
            <w:r>
              <w:rPr>
                <w:sz w:val="16"/>
                <w:szCs w:val="16"/>
              </w:rPr>
              <w:t>1 917</w:t>
            </w:r>
          </w:p>
          <w:p w:rsidR="00C83EEA" w:rsidRPr="007F33CF" w:rsidRDefault="00C83EEA" w:rsidP="009F24E6">
            <w:pPr>
              <w:jc w:val="center"/>
              <w:rPr>
                <w:sz w:val="16"/>
                <w:szCs w:val="16"/>
              </w:rPr>
            </w:pPr>
            <w:r>
              <w:rPr>
                <w:sz w:val="16"/>
                <w:szCs w:val="16"/>
              </w:rPr>
              <w:t>125,9%</w:t>
            </w:r>
          </w:p>
        </w:tc>
        <w:tc>
          <w:tcPr>
            <w:tcW w:w="720" w:type="dxa"/>
            <w:vAlign w:val="center"/>
          </w:tcPr>
          <w:p w:rsidR="00C83EEA" w:rsidRPr="007F33CF" w:rsidRDefault="00C83EEA" w:rsidP="009F24E6">
            <w:pPr>
              <w:jc w:val="center"/>
              <w:rPr>
                <w:sz w:val="16"/>
                <w:szCs w:val="16"/>
              </w:rPr>
            </w:pPr>
            <w:r>
              <w:rPr>
                <w:sz w:val="16"/>
                <w:szCs w:val="16"/>
              </w:rPr>
              <w:t>9 680</w:t>
            </w:r>
          </w:p>
        </w:tc>
        <w:tc>
          <w:tcPr>
            <w:tcW w:w="720" w:type="dxa"/>
            <w:vAlign w:val="center"/>
          </w:tcPr>
          <w:p w:rsidR="00C83EEA" w:rsidRPr="007F33CF" w:rsidRDefault="00C83EEA" w:rsidP="009F24E6">
            <w:pPr>
              <w:jc w:val="center"/>
              <w:rPr>
                <w:sz w:val="16"/>
                <w:szCs w:val="16"/>
              </w:rPr>
            </w:pPr>
            <w:r>
              <w:rPr>
                <w:sz w:val="16"/>
                <w:szCs w:val="16"/>
              </w:rPr>
              <w:t>363</w:t>
            </w:r>
          </w:p>
          <w:p w:rsidR="00C83EEA" w:rsidRPr="007F33CF" w:rsidRDefault="00C83EEA" w:rsidP="009F24E6">
            <w:pPr>
              <w:ind w:left="-56"/>
              <w:jc w:val="center"/>
              <w:rPr>
                <w:sz w:val="16"/>
                <w:szCs w:val="16"/>
              </w:rPr>
            </w:pPr>
            <w:r w:rsidRPr="007F33CF">
              <w:rPr>
                <w:sz w:val="16"/>
                <w:szCs w:val="16"/>
              </w:rPr>
              <w:t>10</w:t>
            </w:r>
            <w:r>
              <w:rPr>
                <w:sz w:val="16"/>
                <w:szCs w:val="16"/>
              </w:rPr>
              <w:t>3,9%</w:t>
            </w:r>
          </w:p>
        </w:tc>
        <w:tc>
          <w:tcPr>
            <w:tcW w:w="720" w:type="dxa"/>
            <w:vAlign w:val="center"/>
          </w:tcPr>
          <w:p w:rsidR="00C83EEA" w:rsidRPr="007F33CF" w:rsidRDefault="00C83EEA" w:rsidP="009F24E6">
            <w:pPr>
              <w:jc w:val="center"/>
              <w:rPr>
                <w:sz w:val="16"/>
                <w:szCs w:val="16"/>
              </w:rPr>
            </w:pPr>
            <w:r>
              <w:rPr>
                <w:sz w:val="16"/>
                <w:szCs w:val="16"/>
              </w:rPr>
              <w:t>9 923</w:t>
            </w:r>
          </w:p>
        </w:tc>
        <w:tc>
          <w:tcPr>
            <w:tcW w:w="720" w:type="dxa"/>
            <w:vAlign w:val="center"/>
          </w:tcPr>
          <w:p w:rsidR="00C83EEA" w:rsidRPr="007F33CF" w:rsidRDefault="00C83EEA" w:rsidP="009F24E6">
            <w:pPr>
              <w:jc w:val="center"/>
              <w:rPr>
                <w:sz w:val="16"/>
                <w:szCs w:val="16"/>
              </w:rPr>
            </w:pPr>
            <w:r>
              <w:rPr>
                <w:sz w:val="16"/>
                <w:szCs w:val="16"/>
              </w:rPr>
              <w:t>243</w:t>
            </w:r>
          </w:p>
          <w:p w:rsidR="00C83EEA" w:rsidRPr="007F33CF" w:rsidRDefault="00C83EEA" w:rsidP="009F24E6">
            <w:pPr>
              <w:jc w:val="center"/>
              <w:rPr>
                <w:sz w:val="16"/>
                <w:szCs w:val="16"/>
              </w:rPr>
            </w:pPr>
            <w:r w:rsidRPr="007F33CF">
              <w:rPr>
                <w:sz w:val="16"/>
                <w:szCs w:val="16"/>
              </w:rPr>
              <w:t>10</w:t>
            </w:r>
            <w:r>
              <w:rPr>
                <w:sz w:val="16"/>
                <w:szCs w:val="16"/>
              </w:rPr>
              <w:t>2,5%</w:t>
            </w:r>
          </w:p>
        </w:tc>
      </w:tr>
      <w:tr w:rsidR="00C83EEA" w:rsidRPr="00904A04" w:rsidTr="009F24E6">
        <w:tc>
          <w:tcPr>
            <w:tcW w:w="2808" w:type="dxa"/>
          </w:tcPr>
          <w:p w:rsidR="00C83EEA" w:rsidRPr="00686253" w:rsidRDefault="00C83EEA" w:rsidP="009F24E6">
            <w:pPr>
              <w:rPr>
                <w:sz w:val="16"/>
                <w:szCs w:val="16"/>
              </w:rPr>
            </w:pPr>
            <w:r w:rsidRPr="00686253">
              <w:rPr>
                <w:sz w:val="16"/>
                <w:szCs w:val="16"/>
              </w:rPr>
              <w:t>- участк</w:t>
            </w:r>
            <w:r>
              <w:rPr>
                <w:sz w:val="16"/>
                <w:szCs w:val="16"/>
              </w:rPr>
              <w:t>и</w:t>
            </w:r>
            <w:r w:rsidRPr="00686253">
              <w:rPr>
                <w:sz w:val="16"/>
                <w:szCs w:val="16"/>
              </w:rPr>
              <w:t xml:space="preserve">, </w:t>
            </w:r>
            <w:proofErr w:type="spellStart"/>
            <w:r w:rsidRPr="00686253">
              <w:rPr>
                <w:sz w:val="16"/>
                <w:szCs w:val="16"/>
              </w:rPr>
              <w:t>наход-ся</w:t>
            </w:r>
            <w:proofErr w:type="spellEnd"/>
            <w:r w:rsidRPr="00686253">
              <w:rPr>
                <w:sz w:val="16"/>
                <w:szCs w:val="16"/>
              </w:rPr>
              <w:t xml:space="preserve"> в </w:t>
            </w:r>
            <w:proofErr w:type="spellStart"/>
            <w:r w:rsidRPr="00686253">
              <w:rPr>
                <w:sz w:val="16"/>
                <w:szCs w:val="16"/>
              </w:rPr>
              <w:t>федер</w:t>
            </w:r>
            <w:proofErr w:type="spellEnd"/>
            <w:r w:rsidRPr="00686253">
              <w:rPr>
                <w:sz w:val="16"/>
                <w:szCs w:val="16"/>
              </w:rPr>
              <w:t xml:space="preserve">. </w:t>
            </w:r>
            <w:proofErr w:type="spellStart"/>
            <w:r w:rsidRPr="00686253">
              <w:rPr>
                <w:sz w:val="16"/>
                <w:szCs w:val="16"/>
              </w:rPr>
              <w:t>собств-ти</w:t>
            </w:r>
            <w:proofErr w:type="spellEnd"/>
            <w:r w:rsidRPr="00686253">
              <w:rPr>
                <w:sz w:val="16"/>
                <w:szCs w:val="16"/>
              </w:rPr>
              <w:t xml:space="preserve">, полномочия по </w:t>
            </w:r>
            <w:proofErr w:type="spellStart"/>
            <w:r w:rsidRPr="00686253">
              <w:rPr>
                <w:sz w:val="16"/>
                <w:szCs w:val="16"/>
              </w:rPr>
              <w:t>упр</w:t>
            </w:r>
            <w:proofErr w:type="spellEnd"/>
            <w:r w:rsidRPr="00686253">
              <w:rPr>
                <w:sz w:val="16"/>
                <w:szCs w:val="16"/>
              </w:rPr>
              <w:t xml:space="preserve">-ю и </w:t>
            </w:r>
            <w:proofErr w:type="spellStart"/>
            <w:r w:rsidRPr="00686253">
              <w:rPr>
                <w:sz w:val="16"/>
                <w:szCs w:val="16"/>
              </w:rPr>
              <w:t>расп</w:t>
            </w:r>
            <w:proofErr w:type="spellEnd"/>
            <w:r w:rsidRPr="00686253">
              <w:rPr>
                <w:sz w:val="16"/>
                <w:szCs w:val="16"/>
              </w:rPr>
              <w:t xml:space="preserve">-ю - органам гос. власти </w:t>
            </w:r>
            <w:r>
              <w:rPr>
                <w:sz w:val="16"/>
                <w:szCs w:val="16"/>
              </w:rPr>
              <w:t>Том</w:t>
            </w:r>
            <w:proofErr w:type="gramStart"/>
            <w:r>
              <w:rPr>
                <w:sz w:val="16"/>
                <w:szCs w:val="16"/>
              </w:rPr>
              <w:t>.</w:t>
            </w:r>
            <w:proofErr w:type="gramEnd"/>
            <w:r>
              <w:rPr>
                <w:sz w:val="16"/>
                <w:szCs w:val="16"/>
              </w:rPr>
              <w:t xml:space="preserve"> </w:t>
            </w:r>
            <w:proofErr w:type="gramStart"/>
            <w:r>
              <w:rPr>
                <w:sz w:val="16"/>
                <w:szCs w:val="16"/>
              </w:rPr>
              <w:t>о</w:t>
            </w:r>
            <w:proofErr w:type="gramEnd"/>
            <w:r>
              <w:rPr>
                <w:sz w:val="16"/>
                <w:szCs w:val="16"/>
              </w:rPr>
              <w:t>бласти</w:t>
            </w:r>
          </w:p>
        </w:tc>
        <w:tc>
          <w:tcPr>
            <w:tcW w:w="720" w:type="dxa"/>
            <w:vAlign w:val="center"/>
          </w:tcPr>
          <w:p w:rsidR="00C83EEA" w:rsidRPr="007F33CF" w:rsidRDefault="00C83EEA" w:rsidP="009F24E6">
            <w:pPr>
              <w:ind w:left="-108"/>
              <w:jc w:val="center"/>
              <w:rPr>
                <w:sz w:val="16"/>
                <w:szCs w:val="16"/>
              </w:rPr>
            </w:pPr>
            <w:r>
              <w:rPr>
                <w:sz w:val="16"/>
                <w:szCs w:val="16"/>
              </w:rPr>
              <w:t>-</w:t>
            </w:r>
          </w:p>
        </w:tc>
        <w:tc>
          <w:tcPr>
            <w:tcW w:w="720" w:type="dxa"/>
            <w:vAlign w:val="center"/>
          </w:tcPr>
          <w:p w:rsidR="00C83EEA" w:rsidRPr="007F33CF" w:rsidRDefault="00C83EEA" w:rsidP="009F24E6">
            <w:pPr>
              <w:ind w:right="-108"/>
              <w:rPr>
                <w:sz w:val="16"/>
                <w:szCs w:val="16"/>
              </w:rPr>
            </w:pPr>
            <w:r>
              <w:rPr>
                <w:sz w:val="16"/>
                <w:szCs w:val="16"/>
              </w:rPr>
              <w:t>14 308</w:t>
            </w:r>
          </w:p>
        </w:tc>
        <w:tc>
          <w:tcPr>
            <w:tcW w:w="1080" w:type="dxa"/>
            <w:vAlign w:val="center"/>
          </w:tcPr>
          <w:p w:rsidR="00C83EEA" w:rsidRPr="007F33CF" w:rsidRDefault="00C83EEA" w:rsidP="009F24E6">
            <w:pPr>
              <w:jc w:val="center"/>
              <w:rPr>
                <w:sz w:val="16"/>
                <w:szCs w:val="16"/>
              </w:rPr>
            </w:pPr>
            <w:r>
              <w:rPr>
                <w:sz w:val="16"/>
                <w:szCs w:val="16"/>
              </w:rPr>
              <w:t>-</w:t>
            </w:r>
          </w:p>
        </w:tc>
        <w:tc>
          <w:tcPr>
            <w:tcW w:w="720" w:type="dxa"/>
            <w:vAlign w:val="center"/>
          </w:tcPr>
          <w:p w:rsidR="00C83EEA" w:rsidRPr="007F33CF" w:rsidRDefault="00C83EEA" w:rsidP="009F24E6">
            <w:pPr>
              <w:ind w:left="-108"/>
              <w:jc w:val="right"/>
              <w:rPr>
                <w:sz w:val="16"/>
                <w:szCs w:val="16"/>
              </w:rPr>
            </w:pPr>
            <w:r>
              <w:rPr>
                <w:sz w:val="16"/>
                <w:szCs w:val="16"/>
              </w:rPr>
              <w:t>7 154</w:t>
            </w:r>
          </w:p>
        </w:tc>
        <w:tc>
          <w:tcPr>
            <w:tcW w:w="720" w:type="dxa"/>
            <w:vAlign w:val="center"/>
          </w:tcPr>
          <w:p w:rsidR="00C83EEA" w:rsidRPr="007F33CF" w:rsidRDefault="00C83EEA" w:rsidP="009F24E6">
            <w:pPr>
              <w:jc w:val="center"/>
              <w:rPr>
                <w:sz w:val="16"/>
                <w:szCs w:val="16"/>
              </w:rPr>
            </w:pPr>
            <w:r>
              <w:rPr>
                <w:sz w:val="16"/>
                <w:szCs w:val="16"/>
              </w:rPr>
              <w:t>-</w:t>
            </w:r>
          </w:p>
        </w:tc>
        <w:tc>
          <w:tcPr>
            <w:tcW w:w="720" w:type="dxa"/>
            <w:vAlign w:val="center"/>
          </w:tcPr>
          <w:p w:rsidR="00C83EEA" w:rsidRPr="007F33CF" w:rsidRDefault="00C83EEA" w:rsidP="009F24E6">
            <w:pPr>
              <w:ind w:right="-108"/>
              <w:jc w:val="center"/>
              <w:rPr>
                <w:sz w:val="16"/>
                <w:szCs w:val="16"/>
              </w:rPr>
            </w:pPr>
            <w:r>
              <w:rPr>
                <w:sz w:val="16"/>
                <w:szCs w:val="16"/>
              </w:rPr>
              <w:t>7 154</w:t>
            </w:r>
          </w:p>
        </w:tc>
        <w:tc>
          <w:tcPr>
            <w:tcW w:w="720" w:type="dxa"/>
            <w:vAlign w:val="center"/>
          </w:tcPr>
          <w:p w:rsidR="00C83EEA" w:rsidRPr="007F33CF" w:rsidRDefault="00C83EEA" w:rsidP="009F24E6">
            <w:pPr>
              <w:jc w:val="center"/>
              <w:rPr>
                <w:sz w:val="16"/>
                <w:szCs w:val="16"/>
              </w:rPr>
            </w:pPr>
            <w:r>
              <w:rPr>
                <w:sz w:val="16"/>
                <w:szCs w:val="16"/>
              </w:rPr>
              <w:t>100%</w:t>
            </w:r>
          </w:p>
        </w:tc>
        <w:tc>
          <w:tcPr>
            <w:tcW w:w="720" w:type="dxa"/>
            <w:vAlign w:val="center"/>
          </w:tcPr>
          <w:p w:rsidR="00C83EEA" w:rsidRPr="007F33CF" w:rsidRDefault="00C83EEA" w:rsidP="009F24E6">
            <w:pPr>
              <w:ind w:left="-108"/>
              <w:jc w:val="center"/>
              <w:rPr>
                <w:sz w:val="16"/>
                <w:szCs w:val="16"/>
              </w:rPr>
            </w:pPr>
            <w:r>
              <w:rPr>
                <w:sz w:val="16"/>
                <w:szCs w:val="16"/>
              </w:rPr>
              <w:t>-</w:t>
            </w:r>
          </w:p>
        </w:tc>
        <w:tc>
          <w:tcPr>
            <w:tcW w:w="720" w:type="dxa"/>
            <w:vAlign w:val="center"/>
          </w:tcPr>
          <w:p w:rsidR="00C83EEA" w:rsidRPr="007F33CF" w:rsidRDefault="00C83EEA" w:rsidP="009F24E6">
            <w:pPr>
              <w:jc w:val="center"/>
              <w:rPr>
                <w:sz w:val="16"/>
                <w:szCs w:val="16"/>
              </w:rPr>
            </w:pPr>
            <w:r>
              <w:rPr>
                <w:sz w:val="16"/>
                <w:szCs w:val="16"/>
              </w:rPr>
              <w:t>-</w:t>
            </w:r>
          </w:p>
        </w:tc>
      </w:tr>
    </w:tbl>
    <w:p w:rsidR="00C83EEA" w:rsidRPr="000B46C4" w:rsidRDefault="00C83EEA" w:rsidP="00C83EEA">
      <w:pPr>
        <w:tabs>
          <w:tab w:val="left" w:pos="720"/>
        </w:tabs>
        <w:autoSpaceDE w:val="0"/>
        <w:autoSpaceDN w:val="0"/>
        <w:adjustRightInd w:val="0"/>
        <w:ind w:firstLine="709"/>
        <w:jc w:val="both"/>
        <w:rPr>
          <w:sz w:val="20"/>
          <w:szCs w:val="20"/>
        </w:rPr>
      </w:pPr>
    </w:p>
    <w:p w:rsidR="00C83EEA" w:rsidRPr="006C42F7" w:rsidRDefault="00C83EEA" w:rsidP="00C83EEA">
      <w:pPr>
        <w:tabs>
          <w:tab w:val="left" w:pos="720"/>
        </w:tabs>
        <w:autoSpaceDE w:val="0"/>
        <w:autoSpaceDN w:val="0"/>
        <w:adjustRightInd w:val="0"/>
        <w:ind w:firstLine="709"/>
        <w:jc w:val="both"/>
      </w:pPr>
      <w:r>
        <w:t>Доходы</w:t>
      </w:r>
      <w:r w:rsidRPr="00E52AB6">
        <w:t>,</w:t>
      </w:r>
      <w:r>
        <w:t xml:space="preserve"> получаемые в виде арендной платы за земельные участки, находящиеся в государственной и муниципальной собственности, на 2013 год прогнозируются в объеме 142 119 тыс. руб., что на 16 548 </w:t>
      </w:r>
      <w:proofErr w:type="spellStart"/>
      <w:r>
        <w:t>тыс</w:t>
      </w:r>
      <w:proofErr w:type="gramStart"/>
      <w:r>
        <w:t>.р</w:t>
      </w:r>
      <w:proofErr w:type="gramEnd"/>
      <w:r>
        <w:t>уб</w:t>
      </w:r>
      <w:proofErr w:type="spellEnd"/>
      <w:r>
        <w:t>. или на 13,2% больше по сравнению с ожида</w:t>
      </w:r>
      <w:r>
        <w:t>е</w:t>
      </w:r>
      <w:r>
        <w:t xml:space="preserve">мым исполнением за 2012 год (125 571 </w:t>
      </w:r>
      <w:proofErr w:type="spellStart"/>
      <w:r>
        <w:t>тыс.руб</w:t>
      </w:r>
      <w:proofErr w:type="spellEnd"/>
      <w:r>
        <w:t xml:space="preserve">.), на 2014 год - 149 450 </w:t>
      </w:r>
      <w:proofErr w:type="spellStart"/>
      <w:r>
        <w:t>тыс.руб</w:t>
      </w:r>
      <w:proofErr w:type="spellEnd"/>
      <w:r>
        <w:t>. (увел</w:t>
      </w:r>
      <w:r>
        <w:t>и</w:t>
      </w:r>
      <w:r>
        <w:t xml:space="preserve">чение на 7 331 </w:t>
      </w:r>
      <w:proofErr w:type="spellStart"/>
      <w:r>
        <w:t>тыс.руб</w:t>
      </w:r>
      <w:proofErr w:type="spellEnd"/>
      <w:r>
        <w:t xml:space="preserve">. или на 5,2% к предыдущему году) и на 2015 год - 149 109 </w:t>
      </w:r>
      <w:proofErr w:type="spellStart"/>
      <w:r>
        <w:t>тыс</w:t>
      </w:r>
      <w:proofErr w:type="gramStart"/>
      <w:r>
        <w:t>.р</w:t>
      </w:r>
      <w:proofErr w:type="gramEnd"/>
      <w:r>
        <w:t>уб</w:t>
      </w:r>
      <w:proofErr w:type="spellEnd"/>
      <w:r>
        <w:t xml:space="preserve">. (снижение на 341 </w:t>
      </w:r>
      <w:proofErr w:type="spellStart"/>
      <w:r>
        <w:t>тыс.руб</w:t>
      </w:r>
      <w:proofErr w:type="spellEnd"/>
      <w:r>
        <w:t xml:space="preserve">. или на 0,2%). </w:t>
      </w:r>
    </w:p>
    <w:p w:rsidR="00C83EEA" w:rsidRDefault="00C83EEA" w:rsidP="00C83EEA">
      <w:pPr>
        <w:numPr>
          <w:ilvl w:val="0"/>
          <w:numId w:val="4"/>
        </w:numPr>
        <w:tabs>
          <w:tab w:val="left" w:pos="851"/>
        </w:tabs>
        <w:autoSpaceDE w:val="0"/>
        <w:autoSpaceDN w:val="0"/>
        <w:adjustRightInd w:val="0"/>
        <w:ind w:left="0" w:firstLine="709"/>
        <w:jc w:val="both"/>
      </w:pPr>
      <w:r>
        <w:t xml:space="preserve"> </w:t>
      </w:r>
      <w:proofErr w:type="gramStart"/>
      <w:r>
        <w:t>Прогнозируемые д</w:t>
      </w:r>
      <w:r w:rsidRPr="006C42F7">
        <w:t>оходы, получаемые в виде арендной платы за земельные участки,</w:t>
      </w:r>
      <w:r w:rsidRPr="006C42F7">
        <w:rPr>
          <w:b/>
        </w:rPr>
        <w:t xml:space="preserve"> </w:t>
      </w:r>
      <w:r w:rsidRPr="006C42F7">
        <w:t>государственная собственность на которые не разграничена и которые распол</w:t>
      </w:r>
      <w:r w:rsidRPr="006C42F7">
        <w:t>о</w:t>
      </w:r>
      <w:r w:rsidRPr="006C42F7">
        <w:t>жены в границах городских округов, и средств</w:t>
      </w:r>
      <w:r>
        <w:t>а</w:t>
      </w:r>
      <w:r w:rsidRPr="006C42F7">
        <w:t xml:space="preserve"> от продажи права на заключение договоров аре</w:t>
      </w:r>
      <w:r w:rsidRPr="006C42F7">
        <w:t>н</w:t>
      </w:r>
      <w:r w:rsidRPr="006C42F7">
        <w:t>ды этих земельных участков (в област</w:t>
      </w:r>
      <w:r>
        <w:t>ной бюджет - по нормативу 20%) на 2013 и 2014 г</w:t>
      </w:r>
      <w:r>
        <w:t>о</w:t>
      </w:r>
      <w:r>
        <w:t>ды увеличены по сравнению с объемами, учтенными в Законе Томской области «Об областном бюджете на</w:t>
      </w:r>
      <w:proofErr w:type="gramEnd"/>
      <w:r>
        <w:t xml:space="preserve"> 2012 год и на плановый период 2013 и 2014 годов», соответс</w:t>
      </w:r>
      <w:r>
        <w:t>т</w:t>
      </w:r>
      <w:r>
        <w:t xml:space="preserve">венно на 19 009 </w:t>
      </w:r>
      <w:proofErr w:type="spellStart"/>
      <w:r>
        <w:t>тыс.руб</w:t>
      </w:r>
      <w:proofErr w:type="spellEnd"/>
      <w:r>
        <w:t xml:space="preserve">. и на 20 585 </w:t>
      </w:r>
      <w:proofErr w:type="spellStart"/>
      <w:r>
        <w:t>тыс.руб</w:t>
      </w:r>
      <w:proofErr w:type="spellEnd"/>
      <w:r>
        <w:t>. в основном за счет доходов от аренды з</w:t>
      </w:r>
      <w:r>
        <w:t>е</w:t>
      </w:r>
      <w:r>
        <w:t xml:space="preserve">мельных участков, расположенных в </w:t>
      </w:r>
      <w:proofErr w:type="spellStart"/>
      <w:r>
        <w:t>г</w:t>
      </w:r>
      <w:proofErr w:type="gramStart"/>
      <w:r>
        <w:t>.Т</w:t>
      </w:r>
      <w:proofErr w:type="gramEnd"/>
      <w:r>
        <w:t>омске</w:t>
      </w:r>
      <w:proofErr w:type="spellEnd"/>
      <w:r>
        <w:t xml:space="preserve">. </w:t>
      </w:r>
      <w:r w:rsidRPr="001C79AA">
        <w:t>На 2015 год темп роста указанн</w:t>
      </w:r>
      <w:r>
        <w:t>ых</w:t>
      </w:r>
      <w:r w:rsidRPr="001C79AA">
        <w:t xml:space="preserve"> доходов с</w:t>
      </w:r>
      <w:r>
        <w:t xml:space="preserve">оставляет </w:t>
      </w:r>
      <w:r w:rsidRPr="001C79AA">
        <w:t xml:space="preserve">105% </w:t>
      </w:r>
      <w:r>
        <w:t xml:space="preserve">к предыдущему году, </w:t>
      </w:r>
      <w:r w:rsidRPr="001C79AA">
        <w:t>пр</w:t>
      </w:r>
      <w:r w:rsidRPr="001C79AA">
        <w:t>о</w:t>
      </w:r>
      <w:r w:rsidRPr="001C79AA">
        <w:t xml:space="preserve">гнозируется прирост доходов областного бюджета </w:t>
      </w:r>
      <w:r>
        <w:t xml:space="preserve">на 6 570 </w:t>
      </w:r>
      <w:proofErr w:type="spellStart"/>
      <w:r>
        <w:t>тыс</w:t>
      </w:r>
      <w:proofErr w:type="gramStart"/>
      <w:r>
        <w:t>.р</w:t>
      </w:r>
      <w:proofErr w:type="gramEnd"/>
      <w:r>
        <w:t>уб</w:t>
      </w:r>
      <w:proofErr w:type="spellEnd"/>
      <w:r>
        <w:t>.</w:t>
      </w:r>
      <w:r w:rsidRPr="00BB4D0E">
        <w:t xml:space="preserve"> </w:t>
      </w:r>
      <w:r>
        <w:t>(табл</w:t>
      </w:r>
      <w:r>
        <w:t>и</w:t>
      </w:r>
      <w:r>
        <w:t>ца 5).</w:t>
      </w:r>
    </w:p>
    <w:p w:rsidR="00C83EEA" w:rsidRDefault="00C83EEA" w:rsidP="00C83EEA">
      <w:pPr>
        <w:tabs>
          <w:tab w:val="left" w:pos="720"/>
        </w:tabs>
        <w:autoSpaceDE w:val="0"/>
        <w:autoSpaceDN w:val="0"/>
        <w:adjustRightInd w:val="0"/>
        <w:ind w:firstLine="709"/>
        <w:jc w:val="right"/>
      </w:pPr>
      <w:r>
        <w:t>Таблица 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5760"/>
        <w:gridCol w:w="1080"/>
        <w:gridCol w:w="1164"/>
        <w:gridCol w:w="992"/>
      </w:tblGrid>
      <w:tr w:rsidR="00C83EEA" w:rsidRPr="00D97E80" w:rsidTr="009F24E6">
        <w:tc>
          <w:tcPr>
            <w:tcW w:w="468" w:type="dxa"/>
            <w:shd w:val="clear" w:color="auto" w:fill="auto"/>
          </w:tcPr>
          <w:p w:rsidR="00C83EEA" w:rsidRPr="008829BF" w:rsidRDefault="00C83EEA" w:rsidP="009F24E6">
            <w:pPr>
              <w:tabs>
                <w:tab w:val="left" w:pos="720"/>
              </w:tabs>
              <w:autoSpaceDE w:val="0"/>
              <w:autoSpaceDN w:val="0"/>
              <w:adjustRightInd w:val="0"/>
              <w:jc w:val="both"/>
            </w:pPr>
          </w:p>
        </w:tc>
        <w:tc>
          <w:tcPr>
            <w:tcW w:w="5760" w:type="dxa"/>
            <w:shd w:val="clear" w:color="auto" w:fill="auto"/>
          </w:tcPr>
          <w:p w:rsidR="00C83EEA" w:rsidRPr="00D97E80" w:rsidRDefault="00C83EEA" w:rsidP="009F24E6">
            <w:pPr>
              <w:tabs>
                <w:tab w:val="left" w:pos="720"/>
              </w:tabs>
              <w:autoSpaceDE w:val="0"/>
              <w:autoSpaceDN w:val="0"/>
              <w:adjustRightInd w:val="0"/>
              <w:jc w:val="center"/>
              <w:rPr>
                <w:sz w:val="20"/>
                <w:szCs w:val="20"/>
              </w:rPr>
            </w:pPr>
            <w:r w:rsidRPr="00D97E80">
              <w:rPr>
                <w:sz w:val="20"/>
                <w:szCs w:val="20"/>
              </w:rPr>
              <w:t>показатели</w:t>
            </w:r>
          </w:p>
        </w:tc>
        <w:tc>
          <w:tcPr>
            <w:tcW w:w="1080" w:type="dxa"/>
            <w:shd w:val="clear" w:color="auto" w:fill="auto"/>
          </w:tcPr>
          <w:p w:rsidR="00C83EEA" w:rsidRPr="00D97E80" w:rsidRDefault="00C83EEA" w:rsidP="009F24E6">
            <w:pPr>
              <w:tabs>
                <w:tab w:val="left" w:pos="720"/>
              </w:tabs>
              <w:autoSpaceDE w:val="0"/>
              <w:autoSpaceDN w:val="0"/>
              <w:adjustRightInd w:val="0"/>
              <w:jc w:val="center"/>
              <w:rPr>
                <w:sz w:val="20"/>
                <w:szCs w:val="20"/>
              </w:rPr>
            </w:pPr>
            <w:r w:rsidRPr="00D97E80">
              <w:rPr>
                <w:sz w:val="20"/>
                <w:szCs w:val="20"/>
              </w:rPr>
              <w:t>2013 год</w:t>
            </w:r>
          </w:p>
        </w:tc>
        <w:tc>
          <w:tcPr>
            <w:tcW w:w="1164" w:type="dxa"/>
            <w:shd w:val="clear" w:color="auto" w:fill="auto"/>
          </w:tcPr>
          <w:p w:rsidR="00C83EEA" w:rsidRPr="00D97E80" w:rsidRDefault="00C83EEA" w:rsidP="009F24E6">
            <w:pPr>
              <w:tabs>
                <w:tab w:val="left" w:pos="720"/>
              </w:tabs>
              <w:autoSpaceDE w:val="0"/>
              <w:autoSpaceDN w:val="0"/>
              <w:adjustRightInd w:val="0"/>
              <w:jc w:val="center"/>
              <w:rPr>
                <w:sz w:val="20"/>
                <w:szCs w:val="20"/>
              </w:rPr>
            </w:pPr>
            <w:r w:rsidRPr="00D97E80">
              <w:rPr>
                <w:sz w:val="20"/>
                <w:szCs w:val="20"/>
              </w:rPr>
              <w:t>2014 год</w:t>
            </w:r>
          </w:p>
        </w:tc>
        <w:tc>
          <w:tcPr>
            <w:tcW w:w="992" w:type="dxa"/>
            <w:shd w:val="clear" w:color="auto" w:fill="auto"/>
          </w:tcPr>
          <w:p w:rsidR="00C83EEA" w:rsidRPr="00D97E80" w:rsidRDefault="00C83EEA" w:rsidP="009F24E6">
            <w:pPr>
              <w:tabs>
                <w:tab w:val="left" w:pos="720"/>
              </w:tabs>
              <w:autoSpaceDE w:val="0"/>
              <w:autoSpaceDN w:val="0"/>
              <w:adjustRightInd w:val="0"/>
              <w:jc w:val="center"/>
              <w:rPr>
                <w:sz w:val="20"/>
                <w:szCs w:val="20"/>
              </w:rPr>
            </w:pPr>
            <w:r w:rsidRPr="00D97E80">
              <w:rPr>
                <w:sz w:val="20"/>
                <w:szCs w:val="20"/>
              </w:rPr>
              <w:t>2015 год</w:t>
            </w:r>
          </w:p>
        </w:tc>
      </w:tr>
      <w:tr w:rsidR="00C83EEA" w:rsidRPr="00D97E80" w:rsidTr="009F24E6">
        <w:tc>
          <w:tcPr>
            <w:tcW w:w="468" w:type="dxa"/>
            <w:shd w:val="clear" w:color="auto" w:fill="auto"/>
          </w:tcPr>
          <w:p w:rsidR="00C83EEA" w:rsidRPr="00D97E80" w:rsidRDefault="00C83EEA" w:rsidP="009F24E6">
            <w:pPr>
              <w:tabs>
                <w:tab w:val="left" w:pos="720"/>
              </w:tabs>
              <w:autoSpaceDE w:val="0"/>
              <w:autoSpaceDN w:val="0"/>
              <w:adjustRightInd w:val="0"/>
              <w:jc w:val="center"/>
              <w:rPr>
                <w:b/>
                <w:sz w:val="20"/>
                <w:szCs w:val="20"/>
              </w:rPr>
            </w:pPr>
            <w:r w:rsidRPr="00D97E80">
              <w:rPr>
                <w:b/>
                <w:sz w:val="20"/>
                <w:szCs w:val="20"/>
              </w:rPr>
              <w:t>1.</w:t>
            </w:r>
          </w:p>
        </w:tc>
        <w:tc>
          <w:tcPr>
            <w:tcW w:w="5760" w:type="dxa"/>
            <w:shd w:val="clear" w:color="auto" w:fill="auto"/>
          </w:tcPr>
          <w:p w:rsidR="00C83EEA" w:rsidRPr="00D97E80" w:rsidRDefault="00C83EEA" w:rsidP="009F24E6">
            <w:pPr>
              <w:tabs>
                <w:tab w:val="left" w:pos="720"/>
              </w:tabs>
              <w:autoSpaceDE w:val="0"/>
              <w:autoSpaceDN w:val="0"/>
              <w:adjustRightInd w:val="0"/>
              <w:jc w:val="both"/>
              <w:rPr>
                <w:b/>
                <w:sz w:val="20"/>
                <w:szCs w:val="20"/>
              </w:rPr>
            </w:pPr>
            <w:r w:rsidRPr="00D97E80">
              <w:rPr>
                <w:b/>
                <w:sz w:val="20"/>
                <w:szCs w:val="20"/>
              </w:rPr>
              <w:t>Законопроект (2013-</w:t>
            </w:r>
            <w:smartTag w:uri="urn:schemas-microsoft-com:office:smarttags" w:element="metricconverter">
              <w:smartTagPr>
                <w:attr w:name="ProductID" w:val="2015 г"/>
              </w:smartTagPr>
              <w:r w:rsidRPr="00D97E80">
                <w:rPr>
                  <w:b/>
                  <w:sz w:val="20"/>
                  <w:szCs w:val="20"/>
                </w:rPr>
                <w:t xml:space="preserve">2015 </w:t>
              </w:r>
              <w:proofErr w:type="spellStart"/>
              <w:r w:rsidRPr="00D97E80">
                <w:rPr>
                  <w:b/>
                  <w:sz w:val="20"/>
                  <w:szCs w:val="20"/>
                </w:rPr>
                <w:t>г</w:t>
              </w:r>
            </w:smartTag>
            <w:r w:rsidRPr="00D97E80">
              <w:rPr>
                <w:b/>
                <w:sz w:val="20"/>
                <w:szCs w:val="20"/>
              </w:rPr>
              <w:t>.г</w:t>
            </w:r>
            <w:proofErr w:type="spellEnd"/>
            <w:r w:rsidRPr="00D97E80">
              <w:rPr>
                <w:b/>
                <w:sz w:val="20"/>
                <w:szCs w:val="20"/>
              </w:rPr>
              <w:t>.), тыс. руб.</w:t>
            </w:r>
          </w:p>
        </w:tc>
        <w:tc>
          <w:tcPr>
            <w:tcW w:w="1080" w:type="dxa"/>
            <w:shd w:val="clear" w:color="auto" w:fill="auto"/>
            <w:vAlign w:val="bottom"/>
          </w:tcPr>
          <w:p w:rsidR="00C83EEA" w:rsidRPr="00D97E80" w:rsidRDefault="00C83EEA" w:rsidP="009F24E6">
            <w:pPr>
              <w:tabs>
                <w:tab w:val="left" w:pos="720"/>
              </w:tabs>
              <w:autoSpaceDE w:val="0"/>
              <w:autoSpaceDN w:val="0"/>
              <w:adjustRightInd w:val="0"/>
              <w:jc w:val="right"/>
              <w:rPr>
                <w:b/>
                <w:sz w:val="20"/>
                <w:szCs w:val="20"/>
              </w:rPr>
            </w:pPr>
            <w:r w:rsidRPr="00D97E80">
              <w:rPr>
                <w:b/>
                <w:sz w:val="20"/>
                <w:szCs w:val="20"/>
              </w:rPr>
              <w:t>125 648</w:t>
            </w:r>
          </w:p>
        </w:tc>
        <w:tc>
          <w:tcPr>
            <w:tcW w:w="1164" w:type="dxa"/>
            <w:shd w:val="clear" w:color="auto" w:fill="auto"/>
            <w:vAlign w:val="bottom"/>
          </w:tcPr>
          <w:p w:rsidR="00C83EEA" w:rsidRPr="00D97E80" w:rsidRDefault="00C83EEA" w:rsidP="009F24E6">
            <w:pPr>
              <w:tabs>
                <w:tab w:val="left" w:pos="720"/>
              </w:tabs>
              <w:autoSpaceDE w:val="0"/>
              <w:autoSpaceDN w:val="0"/>
              <w:adjustRightInd w:val="0"/>
              <w:jc w:val="right"/>
              <w:rPr>
                <w:b/>
                <w:sz w:val="20"/>
                <w:szCs w:val="20"/>
              </w:rPr>
            </w:pPr>
            <w:r w:rsidRPr="00D97E80">
              <w:rPr>
                <w:b/>
                <w:sz w:val="20"/>
                <w:szCs w:val="20"/>
              </w:rPr>
              <w:t>132 616</w:t>
            </w:r>
          </w:p>
        </w:tc>
        <w:tc>
          <w:tcPr>
            <w:tcW w:w="992" w:type="dxa"/>
            <w:shd w:val="clear" w:color="auto" w:fill="auto"/>
            <w:vAlign w:val="bottom"/>
          </w:tcPr>
          <w:p w:rsidR="00C83EEA" w:rsidRPr="00D97E80" w:rsidRDefault="00C83EEA" w:rsidP="009F24E6">
            <w:pPr>
              <w:tabs>
                <w:tab w:val="left" w:pos="720"/>
              </w:tabs>
              <w:autoSpaceDE w:val="0"/>
              <w:autoSpaceDN w:val="0"/>
              <w:adjustRightInd w:val="0"/>
              <w:jc w:val="right"/>
              <w:rPr>
                <w:b/>
                <w:sz w:val="20"/>
                <w:szCs w:val="20"/>
              </w:rPr>
            </w:pPr>
            <w:r w:rsidRPr="00D97E80">
              <w:rPr>
                <w:b/>
                <w:sz w:val="20"/>
                <w:szCs w:val="20"/>
              </w:rPr>
              <w:t>139 186</w:t>
            </w:r>
          </w:p>
        </w:tc>
      </w:tr>
      <w:tr w:rsidR="00C83EEA" w:rsidRPr="00D97E80" w:rsidTr="009F24E6">
        <w:tc>
          <w:tcPr>
            <w:tcW w:w="468" w:type="dxa"/>
            <w:shd w:val="clear" w:color="auto" w:fill="auto"/>
          </w:tcPr>
          <w:p w:rsidR="00C83EEA" w:rsidRPr="00D97E80" w:rsidRDefault="00C83EEA" w:rsidP="009F24E6">
            <w:pPr>
              <w:tabs>
                <w:tab w:val="left" w:pos="720"/>
              </w:tabs>
              <w:autoSpaceDE w:val="0"/>
              <w:autoSpaceDN w:val="0"/>
              <w:adjustRightInd w:val="0"/>
              <w:jc w:val="center"/>
              <w:rPr>
                <w:sz w:val="20"/>
                <w:szCs w:val="20"/>
              </w:rPr>
            </w:pPr>
          </w:p>
        </w:tc>
        <w:tc>
          <w:tcPr>
            <w:tcW w:w="5760" w:type="dxa"/>
            <w:shd w:val="clear" w:color="auto" w:fill="auto"/>
          </w:tcPr>
          <w:p w:rsidR="00C83EEA" w:rsidRPr="00D97E80" w:rsidRDefault="00C83EEA" w:rsidP="009F24E6">
            <w:pPr>
              <w:tabs>
                <w:tab w:val="left" w:pos="720"/>
              </w:tabs>
              <w:autoSpaceDE w:val="0"/>
              <w:autoSpaceDN w:val="0"/>
              <w:adjustRightInd w:val="0"/>
              <w:jc w:val="both"/>
              <w:rPr>
                <w:sz w:val="20"/>
                <w:szCs w:val="20"/>
              </w:rPr>
            </w:pPr>
            <w:r w:rsidRPr="00D97E80">
              <w:rPr>
                <w:sz w:val="20"/>
                <w:szCs w:val="20"/>
              </w:rPr>
              <w:t xml:space="preserve">  к предыдущему году, тыс. руб.</w:t>
            </w:r>
          </w:p>
        </w:tc>
        <w:tc>
          <w:tcPr>
            <w:tcW w:w="1080" w:type="dxa"/>
            <w:shd w:val="clear" w:color="auto" w:fill="auto"/>
            <w:vAlign w:val="bottom"/>
          </w:tcPr>
          <w:p w:rsidR="00C83EEA" w:rsidRPr="00D97E80" w:rsidRDefault="00C83EEA" w:rsidP="009F24E6">
            <w:pPr>
              <w:ind w:left="-108"/>
              <w:jc w:val="right"/>
              <w:rPr>
                <w:sz w:val="20"/>
                <w:szCs w:val="20"/>
              </w:rPr>
            </w:pPr>
            <w:r w:rsidRPr="00D97E80">
              <w:rPr>
                <w:sz w:val="20"/>
                <w:szCs w:val="20"/>
              </w:rPr>
              <w:t xml:space="preserve">  +7 477*</w:t>
            </w:r>
          </w:p>
        </w:tc>
        <w:tc>
          <w:tcPr>
            <w:tcW w:w="1164" w:type="dxa"/>
            <w:shd w:val="clear" w:color="auto" w:fill="auto"/>
            <w:vAlign w:val="bottom"/>
          </w:tcPr>
          <w:p w:rsidR="00C83EEA" w:rsidRPr="00D97E80" w:rsidRDefault="00C83EEA" w:rsidP="009F24E6">
            <w:pPr>
              <w:jc w:val="right"/>
              <w:rPr>
                <w:sz w:val="20"/>
                <w:szCs w:val="20"/>
              </w:rPr>
            </w:pPr>
            <w:r w:rsidRPr="00D97E80">
              <w:rPr>
                <w:sz w:val="20"/>
                <w:szCs w:val="20"/>
              </w:rPr>
              <w:t>+6 968</w:t>
            </w:r>
          </w:p>
        </w:tc>
        <w:tc>
          <w:tcPr>
            <w:tcW w:w="992" w:type="dxa"/>
            <w:shd w:val="clear" w:color="auto" w:fill="auto"/>
            <w:vAlign w:val="bottom"/>
          </w:tcPr>
          <w:p w:rsidR="00C83EEA" w:rsidRPr="00D97E80" w:rsidRDefault="00C83EEA" w:rsidP="009F24E6">
            <w:pPr>
              <w:ind w:left="-108" w:right="-108"/>
              <w:jc w:val="center"/>
              <w:rPr>
                <w:sz w:val="20"/>
                <w:szCs w:val="20"/>
              </w:rPr>
            </w:pPr>
            <w:r w:rsidRPr="00D97E80">
              <w:rPr>
                <w:sz w:val="20"/>
                <w:szCs w:val="20"/>
              </w:rPr>
              <w:t xml:space="preserve">   +6 570</w:t>
            </w:r>
          </w:p>
        </w:tc>
      </w:tr>
      <w:tr w:rsidR="00C83EEA" w:rsidRPr="00D97E80" w:rsidTr="009F24E6">
        <w:tc>
          <w:tcPr>
            <w:tcW w:w="468" w:type="dxa"/>
            <w:shd w:val="clear" w:color="auto" w:fill="auto"/>
          </w:tcPr>
          <w:p w:rsidR="00C83EEA" w:rsidRPr="00D97E80" w:rsidRDefault="00C83EEA" w:rsidP="009F24E6">
            <w:pPr>
              <w:tabs>
                <w:tab w:val="left" w:pos="720"/>
              </w:tabs>
              <w:autoSpaceDE w:val="0"/>
              <w:autoSpaceDN w:val="0"/>
              <w:adjustRightInd w:val="0"/>
              <w:jc w:val="center"/>
              <w:rPr>
                <w:sz w:val="20"/>
                <w:szCs w:val="20"/>
              </w:rPr>
            </w:pPr>
          </w:p>
        </w:tc>
        <w:tc>
          <w:tcPr>
            <w:tcW w:w="5760" w:type="dxa"/>
            <w:shd w:val="clear" w:color="auto" w:fill="auto"/>
          </w:tcPr>
          <w:p w:rsidR="00C83EEA" w:rsidRPr="00D97E80" w:rsidRDefault="00C83EEA" w:rsidP="009F24E6">
            <w:pPr>
              <w:tabs>
                <w:tab w:val="left" w:pos="720"/>
              </w:tabs>
              <w:autoSpaceDE w:val="0"/>
              <w:autoSpaceDN w:val="0"/>
              <w:adjustRightInd w:val="0"/>
              <w:jc w:val="both"/>
              <w:rPr>
                <w:sz w:val="20"/>
                <w:szCs w:val="20"/>
              </w:rPr>
            </w:pPr>
            <w:r w:rsidRPr="00D97E80">
              <w:rPr>
                <w:sz w:val="20"/>
                <w:szCs w:val="20"/>
              </w:rPr>
              <w:t xml:space="preserve">  к предыдущему году, %</w:t>
            </w:r>
          </w:p>
        </w:tc>
        <w:tc>
          <w:tcPr>
            <w:tcW w:w="1080" w:type="dxa"/>
            <w:shd w:val="clear" w:color="auto" w:fill="auto"/>
            <w:vAlign w:val="bottom"/>
          </w:tcPr>
          <w:p w:rsidR="00C83EEA" w:rsidRPr="00D97E80" w:rsidRDefault="00C83EEA" w:rsidP="009F24E6">
            <w:pPr>
              <w:tabs>
                <w:tab w:val="left" w:pos="720"/>
              </w:tabs>
              <w:autoSpaceDE w:val="0"/>
              <w:autoSpaceDN w:val="0"/>
              <w:adjustRightInd w:val="0"/>
              <w:jc w:val="right"/>
              <w:rPr>
                <w:sz w:val="20"/>
                <w:szCs w:val="20"/>
              </w:rPr>
            </w:pPr>
            <w:r w:rsidRPr="00D97E80">
              <w:rPr>
                <w:sz w:val="20"/>
                <w:szCs w:val="20"/>
              </w:rPr>
              <w:t>106,3</w:t>
            </w:r>
          </w:p>
        </w:tc>
        <w:tc>
          <w:tcPr>
            <w:tcW w:w="1164" w:type="dxa"/>
            <w:shd w:val="clear" w:color="auto" w:fill="auto"/>
            <w:vAlign w:val="bottom"/>
          </w:tcPr>
          <w:p w:rsidR="00C83EEA" w:rsidRPr="00D97E80" w:rsidRDefault="00C83EEA" w:rsidP="009F24E6">
            <w:pPr>
              <w:tabs>
                <w:tab w:val="left" w:pos="720"/>
              </w:tabs>
              <w:autoSpaceDE w:val="0"/>
              <w:autoSpaceDN w:val="0"/>
              <w:adjustRightInd w:val="0"/>
              <w:jc w:val="right"/>
              <w:rPr>
                <w:sz w:val="20"/>
                <w:szCs w:val="20"/>
              </w:rPr>
            </w:pPr>
            <w:r w:rsidRPr="00D97E80">
              <w:rPr>
                <w:sz w:val="20"/>
                <w:szCs w:val="20"/>
              </w:rPr>
              <w:t>105,5</w:t>
            </w:r>
          </w:p>
        </w:tc>
        <w:tc>
          <w:tcPr>
            <w:tcW w:w="992" w:type="dxa"/>
            <w:shd w:val="clear" w:color="auto" w:fill="auto"/>
            <w:vAlign w:val="bottom"/>
          </w:tcPr>
          <w:p w:rsidR="00C83EEA" w:rsidRPr="00D97E80" w:rsidRDefault="00C83EEA" w:rsidP="009F24E6">
            <w:pPr>
              <w:tabs>
                <w:tab w:val="left" w:pos="720"/>
              </w:tabs>
              <w:autoSpaceDE w:val="0"/>
              <w:autoSpaceDN w:val="0"/>
              <w:adjustRightInd w:val="0"/>
              <w:jc w:val="right"/>
              <w:rPr>
                <w:sz w:val="20"/>
                <w:szCs w:val="20"/>
              </w:rPr>
            </w:pPr>
            <w:r w:rsidRPr="00D97E80">
              <w:rPr>
                <w:sz w:val="20"/>
                <w:szCs w:val="20"/>
              </w:rPr>
              <w:t>105,0</w:t>
            </w:r>
          </w:p>
        </w:tc>
      </w:tr>
      <w:tr w:rsidR="00C83EEA" w:rsidRPr="00D97E80" w:rsidTr="009F24E6">
        <w:tc>
          <w:tcPr>
            <w:tcW w:w="468" w:type="dxa"/>
            <w:shd w:val="clear" w:color="auto" w:fill="auto"/>
          </w:tcPr>
          <w:p w:rsidR="00C83EEA" w:rsidRPr="00D97E80" w:rsidRDefault="00C83EEA" w:rsidP="009F24E6">
            <w:pPr>
              <w:tabs>
                <w:tab w:val="left" w:pos="720"/>
              </w:tabs>
              <w:autoSpaceDE w:val="0"/>
              <w:autoSpaceDN w:val="0"/>
              <w:adjustRightInd w:val="0"/>
              <w:jc w:val="center"/>
              <w:rPr>
                <w:sz w:val="20"/>
                <w:szCs w:val="20"/>
              </w:rPr>
            </w:pPr>
          </w:p>
        </w:tc>
        <w:tc>
          <w:tcPr>
            <w:tcW w:w="5760" w:type="dxa"/>
            <w:shd w:val="clear" w:color="auto" w:fill="auto"/>
          </w:tcPr>
          <w:p w:rsidR="00C83EEA" w:rsidRPr="00D97E80" w:rsidRDefault="00C83EEA" w:rsidP="009F24E6">
            <w:pPr>
              <w:tabs>
                <w:tab w:val="left" w:pos="720"/>
              </w:tabs>
              <w:autoSpaceDE w:val="0"/>
              <w:autoSpaceDN w:val="0"/>
              <w:adjustRightInd w:val="0"/>
              <w:jc w:val="both"/>
              <w:rPr>
                <w:sz w:val="20"/>
                <w:szCs w:val="20"/>
              </w:rPr>
            </w:pPr>
            <w:r w:rsidRPr="00D97E80">
              <w:rPr>
                <w:sz w:val="20"/>
                <w:szCs w:val="20"/>
              </w:rPr>
              <w:t>темпы роста к 2012 году (в ожидаемой оценке)</w:t>
            </w:r>
          </w:p>
        </w:tc>
        <w:tc>
          <w:tcPr>
            <w:tcW w:w="1080" w:type="dxa"/>
            <w:shd w:val="clear" w:color="auto" w:fill="auto"/>
            <w:vAlign w:val="bottom"/>
          </w:tcPr>
          <w:p w:rsidR="00C83EEA" w:rsidRPr="00D97E80" w:rsidRDefault="00C83EEA" w:rsidP="009F24E6">
            <w:pPr>
              <w:tabs>
                <w:tab w:val="left" w:pos="720"/>
              </w:tabs>
              <w:autoSpaceDE w:val="0"/>
              <w:autoSpaceDN w:val="0"/>
              <w:adjustRightInd w:val="0"/>
              <w:jc w:val="right"/>
              <w:rPr>
                <w:sz w:val="20"/>
                <w:szCs w:val="20"/>
              </w:rPr>
            </w:pPr>
            <w:r w:rsidRPr="00D97E80">
              <w:rPr>
                <w:sz w:val="20"/>
                <w:szCs w:val="20"/>
              </w:rPr>
              <w:t>106,3</w:t>
            </w:r>
          </w:p>
        </w:tc>
        <w:tc>
          <w:tcPr>
            <w:tcW w:w="1164" w:type="dxa"/>
            <w:shd w:val="clear" w:color="auto" w:fill="auto"/>
            <w:vAlign w:val="bottom"/>
          </w:tcPr>
          <w:p w:rsidR="00C83EEA" w:rsidRPr="00D97E80" w:rsidRDefault="00C83EEA" w:rsidP="009F24E6">
            <w:pPr>
              <w:tabs>
                <w:tab w:val="left" w:pos="720"/>
              </w:tabs>
              <w:autoSpaceDE w:val="0"/>
              <w:autoSpaceDN w:val="0"/>
              <w:adjustRightInd w:val="0"/>
              <w:jc w:val="right"/>
              <w:rPr>
                <w:sz w:val="20"/>
                <w:szCs w:val="20"/>
              </w:rPr>
            </w:pPr>
            <w:r w:rsidRPr="00D97E80">
              <w:rPr>
                <w:sz w:val="20"/>
                <w:szCs w:val="20"/>
              </w:rPr>
              <w:t>112,2</w:t>
            </w:r>
          </w:p>
        </w:tc>
        <w:tc>
          <w:tcPr>
            <w:tcW w:w="992" w:type="dxa"/>
            <w:shd w:val="clear" w:color="auto" w:fill="auto"/>
            <w:vAlign w:val="bottom"/>
          </w:tcPr>
          <w:p w:rsidR="00C83EEA" w:rsidRPr="00D97E80" w:rsidRDefault="00C83EEA" w:rsidP="009F24E6">
            <w:pPr>
              <w:tabs>
                <w:tab w:val="left" w:pos="720"/>
              </w:tabs>
              <w:autoSpaceDE w:val="0"/>
              <w:autoSpaceDN w:val="0"/>
              <w:adjustRightInd w:val="0"/>
              <w:jc w:val="right"/>
              <w:rPr>
                <w:sz w:val="20"/>
                <w:szCs w:val="20"/>
              </w:rPr>
            </w:pPr>
            <w:r w:rsidRPr="00D97E80">
              <w:rPr>
                <w:sz w:val="20"/>
                <w:szCs w:val="20"/>
              </w:rPr>
              <w:t>117,8</w:t>
            </w:r>
          </w:p>
        </w:tc>
      </w:tr>
      <w:tr w:rsidR="00C83EEA" w:rsidRPr="00D97E80" w:rsidTr="009F24E6">
        <w:tc>
          <w:tcPr>
            <w:tcW w:w="468" w:type="dxa"/>
            <w:shd w:val="clear" w:color="auto" w:fill="auto"/>
          </w:tcPr>
          <w:p w:rsidR="00C83EEA" w:rsidRPr="00D97E80" w:rsidRDefault="00C83EEA" w:rsidP="009F24E6">
            <w:pPr>
              <w:tabs>
                <w:tab w:val="left" w:pos="720"/>
              </w:tabs>
              <w:autoSpaceDE w:val="0"/>
              <w:autoSpaceDN w:val="0"/>
              <w:adjustRightInd w:val="0"/>
              <w:jc w:val="center"/>
              <w:rPr>
                <w:b/>
                <w:sz w:val="20"/>
                <w:szCs w:val="20"/>
              </w:rPr>
            </w:pPr>
            <w:r w:rsidRPr="00D97E80">
              <w:rPr>
                <w:b/>
                <w:sz w:val="20"/>
                <w:szCs w:val="20"/>
              </w:rPr>
              <w:t>2.</w:t>
            </w:r>
          </w:p>
        </w:tc>
        <w:tc>
          <w:tcPr>
            <w:tcW w:w="5760" w:type="dxa"/>
            <w:shd w:val="clear" w:color="auto" w:fill="auto"/>
          </w:tcPr>
          <w:p w:rsidR="00C83EEA" w:rsidRPr="00D97E80" w:rsidRDefault="00C83EEA" w:rsidP="009F24E6">
            <w:pPr>
              <w:tabs>
                <w:tab w:val="left" w:pos="720"/>
              </w:tabs>
              <w:autoSpaceDE w:val="0"/>
              <w:autoSpaceDN w:val="0"/>
              <w:adjustRightInd w:val="0"/>
              <w:jc w:val="both"/>
              <w:rPr>
                <w:b/>
                <w:sz w:val="20"/>
                <w:szCs w:val="20"/>
              </w:rPr>
            </w:pPr>
            <w:r w:rsidRPr="00D97E80">
              <w:rPr>
                <w:b/>
                <w:sz w:val="20"/>
                <w:szCs w:val="20"/>
              </w:rPr>
              <w:t>Закон от 13.12.2011 № 338-ОЗ (2012-</w:t>
            </w:r>
            <w:smartTag w:uri="urn:schemas-microsoft-com:office:smarttags" w:element="metricconverter">
              <w:smartTagPr>
                <w:attr w:name="ProductID" w:val="2014 г"/>
              </w:smartTagPr>
              <w:r w:rsidRPr="00D97E80">
                <w:rPr>
                  <w:b/>
                  <w:sz w:val="20"/>
                  <w:szCs w:val="20"/>
                </w:rPr>
                <w:t xml:space="preserve">2014 </w:t>
              </w:r>
              <w:proofErr w:type="spellStart"/>
              <w:r w:rsidRPr="00D97E80">
                <w:rPr>
                  <w:b/>
                  <w:sz w:val="20"/>
                  <w:szCs w:val="20"/>
                </w:rPr>
                <w:t>г</w:t>
              </w:r>
            </w:smartTag>
            <w:r w:rsidRPr="00D97E80">
              <w:rPr>
                <w:b/>
                <w:sz w:val="20"/>
                <w:szCs w:val="20"/>
              </w:rPr>
              <w:t>.г</w:t>
            </w:r>
            <w:proofErr w:type="spellEnd"/>
            <w:r w:rsidRPr="00D97E80">
              <w:rPr>
                <w:b/>
                <w:sz w:val="20"/>
                <w:szCs w:val="20"/>
              </w:rPr>
              <w:t>.), тыс. руб.</w:t>
            </w:r>
          </w:p>
        </w:tc>
        <w:tc>
          <w:tcPr>
            <w:tcW w:w="1080" w:type="dxa"/>
            <w:shd w:val="clear" w:color="auto" w:fill="auto"/>
            <w:vAlign w:val="bottom"/>
          </w:tcPr>
          <w:p w:rsidR="00C83EEA" w:rsidRPr="00D97E80" w:rsidRDefault="00C83EEA" w:rsidP="009F24E6">
            <w:pPr>
              <w:tabs>
                <w:tab w:val="left" w:pos="720"/>
              </w:tabs>
              <w:autoSpaceDE w:val="0"/>
              <w:autoSpaceDN w:val="0"/>
              <w:adjustRightInd w:val="0"/>
              <w:jc w:val="right"/>
              <w:rPr>
                <w:b/>
                <w:sz w:val="20"/>
                <w:szCs w:val="20"/>
              </w:rPr>
            </w:pPr>
            <w:r w:rsidRPr="00D97E80">
              <w:rPr>
                <w:b/>
                <w:sz w:val="20"/>
                <w:szCs w:val="20"/>
              </w:rPr>
              <w:t>106 639</w:t>
            </w:r>
          </w:p>
        </w:tc>
        <w:tc>
          <w:tcPr>
            <w:tcW w:w="1164" w:type="dxa"/>
            <w:shd w:val="clear" w:color="auto" w:fill="auto"/>
            <w:vAlign w:val="bottom"/>
          </w:tcPr>
          <w:p w:rsidR="00C83EEA" w:rsidRPr="00D97E80" w:rsidRDefault="00C83EEA" w:rsidP="009F24E6">
            <w:pPr>
              <w:tabs>
                <w:tab w:val="left" w:pos="720"/>
              </w:tabs>
              <w:autoSpaceDE w:val="0"/>
              <w:autoSpaceDN w:val="0"/>
              <w:adjustRightInd w:val="0"/>
              <w:jc w:val="right"/>
              <w:rPr>
                <w:b/>
                <w:sz w:val="20"/>
                <w:szCs w:val="20"/>
              </w:rPr>
            </w:pPr>
            <w:r w:rsidRPr="00D97E80">
              <w:rPr>
                <w:b/>
                <w:sz w:val="20"/>
                <w:szCs w:val="20"/>
              </w:rPr>
              <w:t>112 031</w:t>
            </w:r>
          </w:p>
        </w:tc>
        <w:tc>
          <w:tcPr>
            <w:tcW w:w="992" w:type="dxa"/>
            <w:shd w:val="clear" w:color="auto" w:fill="auto"/>
            <w:vAlign w:val="bottom"/>
          </w:tcPr>
          <w:p w:rsidR="00C83EEA" w:rsidRPr="00D97E80" w:rsidRDefault="00C83EEA" w:rsidP="009F24E6">
            <w:pPr>
              <w:tabs>
                <w:tab w:val="left" w:pos="720"/>
              </w:tabs>
              <w:autoSpaceDE w:val="0"/>
              <w:autoSpaceDN w:val="0"/>
              <w:adjustRightInd w:val="0"/>
              <w:jc w:val="right"/>
              <w:rPr>
                <w:b/>
                <w:sz w:val="20"/>
                <w:szCs w:val="20"/>
              </w:rPr>
            </w:pPr>
          </w:p>
        </w:tc>
      </w:tr>
      <w:tr w:rsidR="00C83EEA" w:rsidRPr="00D97E80" w:rsidTr="009F24E6">
        <w:tc>
          <w:tcPr>
            <w:tcW w:w="468" w:type="dxa"/>
            <w:shd w:val="clear" w:color="auto" w:fill="auto"/>
          </w:tcPr>
          <w:p w:rsidR="00C83EEA" w:rsidRPr="00D97E80" w:rsidRDefault="00C83EEA" w:rsidP="009F24E6">
            <w:pPr>
              <w:tabs>
                <w:tab w:val="left" w:pos="720"/>
              </w:tabs>
              <w:autoSpaceDE w:val="0"/>
              <w:autoSpaceDN w:val="0"/>
              <w:adjustRightInd w:val="0"/>
              <w:jc w:val="center"/>
              <w:rPr>
                <w:sz w:val="20"/>
                <w:szCs w:val="20"/>
              </w:rPr>
            </w:pPr>
          </w:p>
        </w:tc>
        <w:tc>
          <w:tcPr>
            <w:tcW w:w="5760" w:type="dxa"/>
            <w:shd w:val="clear" w:color="auto" w:fill="auto"/>
          </w:tcPr>
          <w:p w:rsidR="00C83EEA" w:rsidRPr="00D97E80" w:rsidRDefault="00C83EEA" w:rsidP="009F24E6">
            <w:pPr>
              <w:tabs>
                <w:tab w:val="left" w:pos="720"/>
              </w:tabs>
              <w:autoSpaceDE w:val="0"/>
              <w:autoSpaceDN w:val="0"/>
              <w:adjustRightInd w:val="0"/>
              <w:jc w:val="both"/>
              <w:rPr>
                <w:sz w:val="20"/>
                <w:szCs w:val="20"/>
              </w:rPr>
            </w:pPr>
            <w:r w:rsidRPr="00D97E80">
              <w:rPr>
                <w:sz w:val="20"/>
                <w:szCs w:val="20"/>
              </w:rPr>
              <w:t xml:space="preserve">  к предыдущему году, тыс. руб.</w:t>
            </w:r>
          </w:p>
        </w:tc>
        <w:tc>
          <w:tcPr>
            <w:tcW w:w="1080" w:type="dxa"/>
            <w:shd w:val="clear" w:color="auto" w:fill="auto"/>
            <w:vAlign w:val="bottom"/>
          </w:tcPr>
          <w:p w:rsidR="00C83EEA" w:rsidRPr="00D97E80" w:rsidRDefault="00C83EEA" w:rsidP="009F24E6">
            <w:pPr>
              <w:tabs>
                <w:tab w:val="left" w:pos="720"/>
              </w:tabs>
              <w:autoSpaceDE w:val="0"/>
              <w:autoSpaceDN w:val="0"/>
              <w:adjustRightInd w:val="0"/>
              <w:jc w:val="right"/>
              <w:rPr>
                <w:sz w:val="20"/>
                <w:szCs w:val="20"/>
              </w:rPr>
            </w:pPr>
            <w:r w:rsidRPr="00D97E80">
              <w:rPr>
                <w:sz w:val="20"/>
                <w:szCs w:val="20"/>
              </w:rPr>
              <w:t>- 11 532*</w:t>
            </w:r>
          </w:p>
        </w:tc>
        <w:tc>
          <w:tcPr>
            <w:tcW w:w="1164" w:type="dxa"/>
            <w:shd w:val="clear" w:color="auto" w:fill="auto"/>
            <w:vAlign w:val="bottom"/>
          </w:tcPr>
          <w:p w:rsidR="00C83EEA" w:rsidRPr="00D97E80" w:rsidRDefault="00C83EEA" w:rsidP="009F24E6">
            <w:pPr>
              <w:tabs>
                <w:tab w:val="left" w:pos="720"/>
              </w:tabs>
              <w:autoSpaceDE w:val="0"/>
              <w:autoSpaceDN w:val="0"/>
              <w:adjustRightInd w:val="0"/>
              <w:jc w:val="right"/>
              <w:rPr>
                <w:sz w:val="20"/>
                <w:szCs w:val="20"/>
              </w:rPr>
            </w:pPr>
            <w:r w:rsidRPr="00D97E80">
              <w:rPr>
                <w:sz w:val="20"/>
                <w:szCs w:val="20"/>
              </w:rPr>
              <w:t>+5 392</w:t>
            </w:r>
          </w:p>
        </w:tc>
        <w:tc>
          <w:tcPr>
            <w:tcW w:w="992" w:type="dxa"/>
            <w:shd w:val="clear" w:color="auto" w:fill="auto"/>
            <w:vAlign w:val="bottom"/>
          </w:tcPr>
          <w:p w:rsidR="00C83EEA" w:rsidRPr="00D97E80" w:rsidRDefault="00C83EEA" w:rsidP="009F24E6">
            <w:pPr>
              <w:tabs>
                <w:tab w:val="left" w:pos="720"/>
              </w:tabs>
              <w:autoSpaceDE w:val="0"/>
              <w:autoSpaceDN w:val="0"/>
              <w:adjustRightInd w:val="0"/>
              <w:jc w:val="right"/>
              <w:rPr>
                <w:sz w:val="20"/>
                <w:szCs w:val="20"/>
              </w:rPr>
            </w:pPr>
          </w:p>
        </w:tc>
      </w:tr>
      <w:tr w:rsidR="00C83EEA" w:rsidRPr="00D97E80" w:rsidTr="009F24E6">
        <w:tc>
          <w:tcPr>
            <w:tcW w:w="468" w:type="dxa"/>
            <w:shd w:val="clear" w:color="auto" w:fill="auto"/>
          </w:tcPr>
          <w:p w:rsidR="00C83EEA" w:rsidRPr="00D97E80" w:rsidRDefault="00C83EEA" w:rsidP="009F24E6">
            <w:pPr>
              <w:tabs>
                <w:tab w:val="left" w:pos="720"/>
              </w:tabs>
              <w:autoSpaceDE w:val="0"/>
              <w:autoSpaceDN w:val="0"/>
              <w:adjustRightInd w:val="0"/>
              <w:jc w:val="center"/>
              <w:rPr>
                <w:sz w:val="20"/>
                <w:szCs w:val="20"/>
              </w:rPr>
            </w:pPr>
          </w:p>
        </w:tc>
        <w:tc>
          <w:tcPr>
            <w:tcW w:w="5760" w:type="dxa"/>
            <w:shd w:val="clear" w:color="auto" w:fill="auto"/>
          </w:tcPr>
          <w:p w:rsidR="00C83EEA" w:rsidRPr="00D97E80" w:rsidRDefault="00C83EEA" w:rsidP="009F24E6">
            <w:pPr>
              <w:tabs>
                <w:tab w:val="left" w:pos="720"/>
              </w:tabs>
              <w:autoSpaceDE w:val="0"/>
              <w:autoSpaceDN w:val="0"/>
              <w:adjustRightInd w:val="0"/>
              <w:jc w:val="both"/>
              <w:rPr>
                <w:sz w:val="20"/>
                <w:szCs w:val="20"/>
              </w:rPr>
            </w:pPr>
            <w:r w:rsidRPr="00D97E80">
              <w:rPr>
                <w:sz w:val="20"/>
                <w:szCs w:val="20"/>
              </w:rPr>
              <w:t xml:space="preserve">  к предыдущему году, %</w:t>
            </w:r>
          </w:p>
        </w:tc>
        <w:tc>
          <w:tcPr>
            <w:tcW w:w="1080" w:type="dxa"/>
            <w:shd w:val="clear" w:color="auto" w:fill="auto"/>
            <w:vAlign w:val="bottom"/>
          </w:tcPr>
          <w:p w:rsidR="00C83EEA" w:rsidRPr="00D97E80" w:rsidRDefault="00C83EEA" w:rsidP="009F24E6">
            <w:pPr>
              <w:tabs>
                <w:tab w:val="left" w:pos="720"/>
              </w:tabs>
              <w:autoSpaceDE w:val="0"/>
              <w:autoSpaceDN w:val="0"/>
              <w:adjustRightInd w:val="0"/>
              <w:jc w:val="right"/>
              <w:rPr>
                <w:sz w:val="20"/>
                <w:szCs w:val="20"/>
              </w:rPr>
            </w:pPr>
            <w:r w:rsidRPr="00D97E80">
              <w:rPr>
                <w:sz w:val="20"/>
                <w:szCs w:val="20"/>
              </w:rPr>
              <w:t>90,2</w:t>
            </w:r>
          </w:p>
        </w:tc>
        <w:tc>
          <w:tcPr>
            <w:tcW w:w="1164" w:type="dxa"/>
            <w:shd w:val="clear" w:color="auto" w:fill="auto"/>
            <w:vAlign w:val="bottom"/>
          </w:tcPr>
          <w:p w:rsidR="00C83EEA" w:rsidRPr="00D97E80" w:rsidRDefault="00C83EEA" w:rsidP="009F24E6">
            <w:pPr>
              <w:tabs>
                <w:tab w:val="left" w:pos="720"/>
              </w:tabs>
              <w:autoSpaceDE w:val="0"/>
              <w:autoSpaceDN w:val="0"/>
              <w:adjustRightInd w:val="0"/>
              <w:jc w:val="right"/>
              <w:rPr>
                <w:sz w:val="20"/>
                <w:szCs w:val="20"/>
              </w:rPr>
            </w:pPr>
            <w:r w:rsidRPr="00D97E80">
              <w:rPr>
                <w:sz w:val="20"/>
                <w:szCs w:val="20"/>
              </w:rPr>
              <w:t>105,1</w:t>
            </w:r>
          </w:p>
        </w:tc>
        <w:tc>
          <w:tcPr>
            <w:tcW w:w="992" w:type="dxa"/>
            <w:shd w:val="clear" w:color="auto" w:fill="auto"/>
            <w:vAlign w:val="bottom"/>
          </w:tcPr>
          <w:p w:rsidR="00C83EEA" w:rsidRPr="00D97E80" w:rsidRDefault="00C83EEA" w:rsidP="009F24E6">
            <w:pPr>
              <w:tabs>
                <w:tab w:val="left" w:pos="720"/>
              </w:tabs>
              <w:autoSpaceDE w:val="0"/>
              <w:autoSpaceDN w:val="0"/>
              <w:adjustRightInd w:val="0"/>
              <w:jc w:val="right"/>
              <w:rPr>
                <w:sz w:val="20"/>
                <w:szCs w:val="20"/>
              </w:rPr>
            </w:pPr>
          </w:p>
        </w:tc>
      </w:tr>
    </w:tbl>
    <w:p w:rsidR="00C83EEA" w:rsidRDefault="00C83EEA" w:rsidP="00C83EEA">
      <w:pPr>
        <w:autoSpaceDE w:val="0"/>
        <w:autoSpaceDN w:val="0"/>
        <w:adjustRightInd w:val="0"/>
        <w:ind w:left="360"/>
        <w:jc w:val="both"/>
        <w:rPr>
          <w:sz w:val="20"/>
          <w:szCs w:val="20"/>
        </w:rPr>
      </w:pPr>
      <w:r>
        <w:rPr>
          <w:sz w:val="20"/>
          <w:szCs w:val="20"/>
        </w:rPr>
        <w:t xml:space="preserve">* </w:t>
      </w:r>
      <w:r w:rsidRPr="008829BF">
        <w:rPr>
          <w:sz w:val="20"/>
          <w:szCs w:val="20"/>
        </w:rPr>
        <w:t>ожидаемая оценка за 2012 год - 118 171 тыс. руб.</w:t>
      </w:r>
    </w:p>
    <w:p w:rsidR="00C83EEA" w:rsidRDefault="00C83EEA" w:rsidP="00C83EEA">
      <w:pPr>
        <w:tabs>
          <w:tab w:val="left" w:pos="720"/>
        </w:tabs>
        <w:autoSpaceDE w:val="0"/>
        <w:autoSpaceDN w:val="0"/>
        <w:adjustRightInd w:val="0"/>
        <w:ind w:firstLine="709"/>
        <w:jc w:val="both"/>
      </w:pPr>
    </w:p>
    <w:p w:rsidR="00C83EEA" w:rsidRDefault="00C83EEA" w:rsidP="00C83EEA">
      <w:pPr>
        <w:tabs>
          <w:tab w:val="left" w:pos="720"/>
        </w:tabs>
        <w:autoSpaceDE w:val="0"/>
        <w:autoSpaceDN w:val="0"/>
        <w:adjustRightInd w:val="0"/>
        <w:ind w:firstLine="709"/>
        <w:jc w:val="both"/>
      </w:pPr>
      <w:r>
        <w:t>В</w:t>
      </w:r>
      <w:r w:rsidRPr="00A92FBA">
        <w:t xml:space="preserve"> материалах к законопроекту</w:t>
      </w:r>
      <w:r>
        <w:t xml:space="preserve"> представлен сводный расчет арендной платы за з</w:t>
      </w:r>
      <w:r>
        <w:t>е</w:t>
      </w:r>
      <w:r>
        <w:t>мельные участки, а также средств от продажи права на заключение договоров аренды на 2013-2015 годы, в том числе по неразграниченным землям, но без разбивки по</w:t>
      </w:r>
      <w:r w:rsidRPr="00A92FBA">
        <w:t xml:space="preserve"> городски</w:t>
      </w:r>
      <w:r>
        <w:t>м</w:t>
      </w:r>
      <w:r w:rsidRPr="00A92FBA">
        <w:t xml:space="preserve"> окр</w:t>
      </w:r>
      <w:r w:rsidRPr="00A92FBA">
        <w:t>у</w:t>
      </w:r>
      <w:r>
        <w:t>гам</w:t>
      </w:r>
      <w:r w:rsidRPr="00A92FBA">
        <w:t>.</w:t>
      </w:r>
      <w:r w:rsidRPr="008829BF">
        <w:t xml:space="preserve"> </w:t>
      </w:r>
    </w:p>
    <w:p w:rsidR="00C83EEA" w:rsidRDefault="00C83EEA" w:rsidP="00C83EEA">
      <w:pPr>
        <w:ind w:firstLine="708"/>
        <w:jc w:val="both"/>
      </w:pPr>
      <w:r>
        <w:t>Потенциальным резервом увеличения доходов по данному источнику является с</w:t>
      </w:r>
      <w:r>
        <w:t>о</w:t>
      </w:r>
      <w:r>
        <w:t>вершенствование работы по взысканию задолженности перед бюджетом по арендным платежам. Однако данные, представленные Департаментом экономического развития и управления муниципальной собственностью Администрации города Томска, свидетельс</w:t>
      </w:r>
      <w:r>
        <w:t>т</w:t>
      </w:r>
      <w:r>
        <w:t xml:space="preserve">вуют об обратном - об увеличении ожидаемой </w:t>
      </w:r>
      <w:r w:rsidRPr="00DB0ABA">
        <w:t>по состоянию на 01.01.201</w:t>
      </w:r>
      <w:r>
        <w:t>3 задолженн</w:t>
      </w:r>
      <w:r>
        <w:t>о</w:t>
      </w:r>
      <w:r>
        <w:t xml:space="preserve">сти по арендным платежам за земельные участки, государственная </w:t>
      </w:r>
      <w:r>
        <w:lastRenderedPageBreak/>
        <w:t>собственность на кот</w:t>
      </w:r>
      <w:r>
        <w:t>о</w:t>
      </w:r>
      <w:r>
        <w:t xml:space="preserve">рые не разграничена, расположенные в границах </w:t>
      </w:r>
      <w:proofErr w:type="spellStart"/>
      <w:r>
        <w:t>г</w:t>
      </w:r>
      <w:proofErr w:type="gramStart"/>
      <w:r>
        <w:t>.</w:t>
      </w:r>
      <w:r w:rsidRPr="00DB0ABA">
        <w:t>Т</w:t>
      </w:r>
      <w:proofErr w:type="gramEnd"/>
      <w:r w:rsidRPr="00DB0ABA">
        <w:t>омск</w:t>
      </w:r>
      <w:r>
        <w:t>а</w:t>
      </w:r>
      <w:proofErr w:type="spellEnd"/>
      <w:r>
        <w:t xml:space="preserve">, до 616,9 </w:t>
      </w:r>
      <w:proofErr w:type="spellStart"/>
      <w:r>
        <w:t>млн.руб</w:t>
      </w:r>
      <w:proofErr w:type="spellEnd"/>
      <w:r>
        <w:t xml:space="preserve">., в том числе в областной бюджет - 123,4 </w:t>
      </w:r>
      <w:proofErr w:type="spellStart"/>
      <w:r>
        <w:t>млн.руб</w:t>
      </w:r>
      <w:proofErr w:type="spellEnd"/>
      <w:r>
        <w:t>.</w:t>
      </w:r>
      <w:r w:rsidRPr="003F02AC">
        <w:t xml:space="preserve"> </w:t>
      </w:r>
    </w:p>
    <w:p w:rsidR="00C83EEA" w:rsidRDefault="00C83EEA" w:rsidP="00C83EEA">
      <w:pPr>
        <w:ind w:firstLine="708"/>
        <w:jc w:val="both"/>
      </w:pPr>
      <w:r>
        <w:t xml:space="preserve">Общая </w:t>
      </w:r>
      <w:r w:rsidRPr="00C3314A">
        <w:t>сумма задолженности по арендным пла</w:t>
      </w:r>
      <w:r>
        <w:t>тежам за земельные участки,</w:t>
      </w:r>
      <w:r w:rsidRPr="005548FD">
        <w:t xml:space="preserve"> </w:t>
      </w:r>
      <w:r>
        <w:t>о</w:t>
      </w:r>
      <w:r w:rsidRPr="00C3314A">
        <w:t>жида</w:t>
      </w:r>
      <w:r>
        <w:t>емая по состоянию на 01.01.2013</w:t>
      </w:r>
      <w:r w:rsidRPr="00C3314A">
        <w:t xml:space="preserve"> в целом по 4 городским о</w:t>
      </w:r>
      <w:r w:rsidRPr="00C3314A">
        <w:t>к</w:t>
      </w:r>
      <w:r w:rsidRPr="00C3314A">
        <w:t>ругам</w:t>
      </w:r>
      <w:r>
        <w:t>,</w:t>
      </w:r>
      <w:r w:rsidRPr="00C3314A">
        <w:t xml:space="preserve"> </w:t>
      </w:r>
      <w:r>
        <w:t xml:space="preserve">составит 649,1 </w:t>
      </w:r>
      <w:proofErr w:type="spellStart"/>
      <w:r>
        <w:t>млн</w:t>
      </w:r>
      <w:proofErr w:type="gramStart"/>
      <w:r>
        <w:t>.</w:t>
      </w:r>
      <w:r w:rsidRPr="00C3314A">
        <w:t>р</w:t>
      </w:r>
      <w:proofErr w:type="gramEnd"/>
      <w:r w:rsidRPr="00C3314A">
        <w:t>уб</w:t>
      </w:r>
      <w:proofErr w:type="spellEnd"/>
      <w:r w:rsidRPr="00C3314A">
        <w:t xml:space="preserve">., в том числе </w:t>
      </w:r>
      <w:r>
        <w:t xml:space="preserve">в областной бюджет - 129,8 </w:t>
      </w:r>
      <w:proofErr w:type="spellStart"/>
      <w:r>
        <w:t>млн.</w:t>
      </w:r>
      <w:r w:rsidRPr="00C3314A">
        <w:t>руб</w:t>
      </w:r>
      <w:proofErr w:type="spellEnd"/>
      <w:r w:rsidRPr="00C3314A">
        <w:t>.</w:t>
      </w:r>
      <w:r>
        <w:t xml:space="preserve"> По данным администраций горо</w:t>
      </w:r>
      <w:r>
        <w:t>д</w:t>
      </w:r>
      <w:r>
        <w:t>ских округов, в</w:t>
      </w:r>
      <w:r w:rsidRPr="00C3314A">
        <w:t xml:space="preserve"> 2013 году планируе</w:t>
      </w:r>
      <w:r>
        <w:t>тся</w:t>
      </w:r>
      <w:r w:rsidRPr="00C3314A">
        <w:t xml:space="preserve"> </w:t>
      </w:r>
      <w:r>
        <w:t xml:space="preserve">к </w:t>
      </w:r>
      <w:r w:rsidRPr="00C3314A">
        <w:t>пога</w:t>
      </w:r>
      <w:r>
        <w:t xml:space="preserve">шению 128,4 </w:t>
      </w:r>
      <w:proofErr w:type="spellStart"/>
      <w:r>
        <w:t>млн.</w:t>
      </w:r>
      <w:r w:rsidRPr="00C3314A">
        <w:t>руб</w:t>
      </w:r>
      <w:proofErr w:type="spellEnd"/>
      <w:r w:rsidRPr="00C3314A">
        <w:t>.</w:t>
      </w:r>
      <w:r>
        <w:t xml:space="preserve"> или 20% от общей ожидаемой суммы задолженности</w:t>
      </w:r>
      <w:r w:rsidRPr="00C3314A">
        <w:t>, в том числе в о</w:t>
      </w:r>
      <w:r w:rsidRPr="00C3314A">
        <w:t>б</w:t>
      </w:r>
      <w:r w:rsidRPr="00C3314A">
        <w:t>ласт</w:t>
      </w:r>
      <w:r>
        <w:t xml:space="preserve">ной бюджет - 25,7 </w:t>
      </w:r>
      <w:proofErr w:type="spellStart"/>
      <w:r>
        <w:t>млн.руб</w:t>
      </w:r>
      <w:proofErr w:type="spellEnd"/>
      <w:r>
        <w:t xml:space="preserve">., из них по </w:t>
      </w:r>
      <w:proofErr w:type="spellStart"/>
      <w:r>
        <w:t>г</w:t>
      </w:r>
      <w:proofErr w:type="gramStart"/>
      <w:r>
        <w:t>.Т</w:t>
      </w:r>
      <w:proofErr w:type="gramEnd"/>
      <w:r>
        <w:t>омску</w:t>
      </w:r>
      <w:proofErr w:type="spellEnd"/>
      <w:r>
        <w:t xml:space="preserve"> - 24,8 </w:t>
      </w:r>
      <w:proofErr w:type="spellStart"/>
      <w:r>
        <w:t>млн.</w:t>
      </w:r>
      <w:r w:rsidRPr="00C3314A">
        <w:t>руб</w:t>
      </w:r>
      <w:proofErr w:type="spellEnd"/>
      <w:r w:rsidRPr="00C3314A">
        <w:t xml:space="preserve">.  </w:t>
      </w:r>
    </w:p>
    <w:p w:rsidR="00C83EEA" w:rsidRPr="00C3314A" w:rsidRDefault="00C83EEA" w:rsidP="00C83EEA">
      <w:pPr>
        <w:tabs>
          <w:tab w:val="left" w:pos="720"/>
        </w:tabs>
        <w:autoSpaceDE w:val="0"/>
        <w:autoSpaceDN w:val="0"/>
        <w:adjustRightInd w:val="0"/>
        <w:ind w:firstLine="709"/>
        <w:jc w:val="both"/>
      </w:pPr>
      <w:r w:rsidRPr="008F575F">
        <w:t xml:space="preserve">По </w:t>
      </w:r>
      <w:r>
        <w:t>уточненной оценке</w:t>
      </w:r>
      <w:r w:rsidRPr="008F575F">
        <w:t xml:space="preserve"> (исходя из динамики поступлений по </w:t>
      </w:r>
      <w:r>
        <w:t>это</w:t>
      </w:r>
      <w:r w:rsidRPr="008F575F">
        <w:t>му источнику доходов и данных, представленных администрациями городских округов)</w:t>
      </w:r>
      <w:r>
        <w:t>,</w:t>
      </w:r>
      <w:r w:rsidRPr="008F575F">
        <w:t xml:space="preserve"> ожидаемое </w:t>
      </w:r>
      <w:r>
        <w:t xml:space="preserve">исполнение </w:t>
      </w:r>
      <w:r w:rsidRPr="008F575F">
        <w:t>за 2012 год может превысить приведенное в законопрое</w:t>
      </w:r>
      <w:r w:rsidRPr="008F575F">
        <w:t>к</w:t>
      </w:r>
      <w:r>
        <w:t xml:space="preserve">те значение на 7 311 </w:t>
      </w:r>
      <w:proofErr w:type="spellStart"/>
      <w:r>
        <w:t>тыс</w:t>
      </w:r>
      <w:proofErr w:type="gramStart"/>
      <w:r>
        <w:t>.</w:t>
      </w:r>
      <w:r w:rsidRPr="008F575F">
        <w:t>р</w:t>
      </w:r>
      <w:proofErr w:type="gramEnd"/>
      <w:r w:rsidRPr="008F575F">
        <w:t>уб</w:t>
      </w:r>
      <w:proofErr w:type="spellEnd"/>
      <w:r w:rsidRPr="008F575F">
        <w:t>.</w:t>
      </w:r>
      <w:r>
        <w:t xml:space="preserve"> и составить 125 482 </w:t>
      </w:r>
      <w:proofErr w:type="spellStart"/>
      <w:r>
        <w:t>тыс.</w:t>
      </w:r>
      <w:r w:rsidRPr="008F575F">
        <w:t>руб</w:t>
      </w:r>
      <w:proofErr w:type="spellEnd"/>
      <w:r w:rsidRPr="008F575F">
        <w:t>. (132,9% от плана)</w:t>
      </w:r>
      <w:r>
        <w:t>.</w:t>
      </w:r>
      <w:r w:rsidRPr="00E661F9">
        <w:t xml:space="preserve"> </w:t>
      </w:r>
      <w:r>
        <w:t>В случае отсутствия улучшений в администрировании</w:t>
      </w:r>
      <w:r>
        <w:rPr>
          <w:b/>
        </w:rPr>
        <w:t xml:space="preserve"> </w:t>
      </w:r>
      <w:r w:rsidRPr="008F575F">
        <w:t>доход</w:t>
      </w:r>
      <w:r>
        <w:t>ы</w:t>
      </w:r>
      <w:r w:rsidRPr="008F575F">
        <w:t xml:space="preserve"> по данному источнику</w:t>
      </w:r>
      <w:r>
        <w:t xml:space="preserve"> могут не достичь прогнозных знач</w:t>
      </w:r>
      <w:r>
        <w:t>е</w:t>
      </w:r>
      <w:r>
        <w:t xml:space="preserve">ний (в 2013 году - на 15 </w:t>
      </w:r>
      <w:proofErr w:type="spellStart"/>
      <w:r>
        <w:t>млн.</w:t>
      </w:r>
      <w:r w:rsidRPr="008F575F">
        <w:t>руб</w:t>
      </w:r>
      <w:proofErr w:type="spellEnd"/>
      <w:r w:rsidRPr="008F575F">
        <w:t>.</w:t>
      </w:r>
      <w:r>
        <w:t xml:space="preserve">, в 2014 году - на 31 </w:t>
      </w:r>
      <w:proofErr w:type="spellStart"/>
      <w:r>
        <w:t>млн.руб</w:t>
      </w:r>
      <w:proofErr w:type="spellEnd"/>
      <w:r>
        <w:t xml:space="preserve">., в 2015 году - на 39 </w:t>
      </w:r>
      <w:proofErr w:type="spellStart"/>
      <w:r>
        <w:t>млн.</w:t>
      </w:r>
      <w:r w:rsidRPr="008F575F">
        <w:t>руб</w:t>
      </w:r>
      <w:proofErr w:type="spellEnd"/>
      <w:r w:rsidRPr="008F575F">
        <w:t>.</w:t>
      </w:r>
      <w:r>
        <w:t>)</w:t>
      </w:r>
      <w:r w:rsidRPr="005548FD">
        <w:t xml:space="preserve"> </w:t>
      </w:r>
      <w:r w:rsidRPr="00441C4B">
        <w:t xml:space="preserve">в связи с планируемым выкупом </w:t>
      </w:r>
      <w:r>
        <w:t>предоставленных в аренду</w:t>
      </w:r>
      <w:r w:rsidRPr="00441C4B">
        <w:t xml:space="preserve"> земельных участков</w:t>
      </w:r>
      <w:r>
        <w:t xml:space="preserve"> о</w:t>
      </w:r>
      <w:r>
        <w:t>б</w:t>
      </w:r>
      <w:r>
        <w:t xml:space="preserve">щей площадью </w:t>
      </w:r>
      <w:smartTag w:uri="urn:schemas-microsoft-com:office:smarttags" w:element="metricconverter">
        <w:smartTagPr>
          <w:attr w:name="ProductID" w:val="37,5 га"/>
        </w:smartTagPr>
        <w:r>
          <w:t>37,5 га</w:t>
        </w:r>
      </w:smartTag>
      <w:r w:rsidRPr="00441C4B">
        <w:t>,</w:t>
      </w:r>
      <w:r>
        <w:t xml:space="preserve"> расположенных в </w:t>
      </w:r>
      <w:proofErr w:type="spellStart"/>
      <w:r>
        <w:t>г</w:t>
      </w:r>
      <w:proofErr w:type="gramStart"/>
      <w:r>
        <w:t>.</w:t>
      </w:r>
      <w:r w:rsidRPr="00441C4B">
        <w:t>Т</w:t>
      </w:r>
      <w:proofErr w:type="gramEnd"/>
      <w:r w:rsidRPr="00441C4B">
        <w:t>омске</w:t>
      </w:r>
      <w:proofErr w:type="spellEnd"/>
      <w:r>
        <w:t xml:space="preserve">. </w:t>
      </w:r>
    </w:p>
    <w:p w:rsidR="00C83EEA" w:rsidRPr="00AA5162" w:rsidRDefault="00C83EEA" w:rsidP="00C83EEA">
      <w:pPr>
        <w:pStyle w:val="ConsPlusNormal"/>
        <w:widowControl/>
        <w:numPr>
          <w:ilvl w:val="0"/>
          <w:numId w:val="4"/>
        </w:numPr>
        <w:tabs>
          <w:tab w:val="left" w:pos="851"/>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AA5162">
        <w:rPr>
          <w:rFonts w:ascii="Times New Roman" w:hAnsi="Times New Roman" w:cs="Times New Roman"/>
          <w:sz w:val="24"/>
          <w:szCs w:val="24"/>
        </w:rPr>
        <w:t xml:space="preserve">Доходы, получаемые в виде арендной платы, а также средства от продажи права на заключение договоров аренды за земельные участки, находящиеся в собственности </w:t>
      </w:r>
      <w:r>
        <w:rPr>
          <w:rFonts w:ascii="Times New Roman" w:hAnsi="Times New Roman" w:cs="Times New Roman"/>
          <w:sz w:val="24"/>
          <w:szCs w:val="24"/>
        </w:rPr>
        <w:t>Томской области</w:t>
      </w:r>
      <w:r w:rsidRPr="00AA5162">
        <w:rPr>
          <w:rFonts w:ascii="Times New Roman" w:hAnsi="Times New Roman" w:cs="Times New Roman"/>
          <w:snapToGrid w:val="0"/>
          <w:sz w:val="24"/>
          <w:szCs w:val="24"/>
        </w:rPr>
        <w:t xml:space="preserve"> (за исключением земельных участков бюджетных и автономных учреждений), прогнозируются</w:t>
      </w:r>
      <w:r w:rsidRPr="00AA5162">
        <w:rPr>
          <w:rFonts w:ascii="Times New Roman" w:hAnsi="Times New Roman" w:cs="Times New Roman"/>
          <w:sz w:val="24"/>
          <w:szCs w:val="24"/>
        </w:rPr>
        <w:t xml:space="preserve"> на 2013 год в су</w:t>
      </w:r>
      <w:r w:rsidRPr="00AA5162">
        <w:rPr>
          <w:rFonts w:ascii="Times New Roman" w:hAnsi="Times New Roman" w:cs="Times New Roman"/>
          <w:sz w:val="24"/>
          <w:szCs w:val="24"/>
        </w:rPr>
        <w:t>м</w:t>
      </w:r>
      <w:r>
        <w:rPr>
          <w:rFonts w:ascii="Times New Roman" w:hAnsi="Times New Roman" w:cs="Times New Roman"/>
          <w:sz w:val="24"/>
          <w:szCs w:val="24"/>
        </w:rPr>
        <w:t xml:space="preserve">ме 9 317 </w:t>
      </w:r>
      <w:proofErr w:type="spellStart"/>
      <w:r>
        <w:rPr>
          <w:rFonts w:ascii="Times New Roman" w:hAnsi="Times New Roman" w:cs="Times New Roman"/>
          <w:sz w:val="24"/>
          <w:szCs w:val="24"/>
        </w:rPr>
        <w:t>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w:t>
      </w:r>
      <w:proofErr w:type="spellEnd"/>
      <w:r>
        <w:rPr>
          <w:rFonts w:ascii="Times New Roman" w:hAnsi="Times New Roman" w:cs="Times New Roman"/>
          <w:sz w:val="24"/>
          <w:szCs w:val="24"/>
        </w:rPr>
        <w:t xml:space="preserve">., что на 1 917 </w:t>
      </w:r>
      <w:proofErr w:type="spellStart"/>
      <w:r>
        <w:rPr>
          <w:rFonts w:ascii="Times New Roman" w:hAnsi="Times New Roman" w:cs="Times New Roman"/>
          <w:sz w:val="24"/>
          <w:szCs w:val="24"/>
        </w:rPr>
        <w:t>тыс.руб</w:t>
      </w:r>
      <w:proofErr w:type="spellEnd"/>
      <w:r>
        <w:rPr>
          <w:rFonts w:ascii="Times New Roman" w:hAnsi="Times New Roman" w:cs="Times New Roman"/>
          <w:sz w:val="24"/>
          <w:szCs w:val="24"/>
        </w:rPr>
        <w:t>. или на 26</w:t>
      </w:r>
      <w:r w:rsidRPr="00AA5162">
        <w:rPr>
          <w:rFonts w:ascii="Times New Roman" w:hAnsi="Times New Roman" w:cs="Times New Roman"/>
          <w:sz w:val="24"/>
          <w:szCs w:val="24"/>
        </w:rPr>
        <w:t>% больше ожидаемого исполнения за 20</w:t>
      </w:r>
      <w:r>
        <w:rPr>
          <w:rFonts w:ascii="Times New Roman" w:hAnsi="Times New Roman" w:cs="Times New Roman"/>
          <w:sz w:val="24"/>
          <w:szCs w:val="24"/>
        </w:rPr>
        <w:t>12 год (7 400 тыс. руб. или 83</w:t>
      </w:r>
      <w:r w:rsidRPr="00AA5162">
        <w:rPr>
          <w:rFonts w:ascii="Times New Roman" w:hAnsi="Times New Roman" w:cs="Times New Roman"/>
          <w:sz w:val="24"/>
          <w:szCs w:val="24"/>
        </w:rPr>
        <w:t>% к устано</w:t>
      </w:r>
      <w:r w:rsidRPr="00AA5162">
        <w:rPr>
          <w:rFonts w:ascii="Times New Roman" w:hAnsi="Times New Roman" w:cs="Times New Roman"/>
          <w:sz w:val="24"/>
          <w:szCs w:val="24"/>
        </w:rPr>
        <w:t>в</w:t>
      </w:r>
      <w:r w:rsidRPr="00AA5162">
        <w:rPr>
          <w:rFonts w:ascii="Times New Roman" w:hAnsi="Times New Roman" w:cs="Times New Roman"/>
          <w:sz w:val="24"/>
          <w:szCs w:val="24"/>
        </w:rPr>
        <w:t>ленному плану). Прогноз д</w:t>
      </w:r>
      <w:r>
        <w:rPr>
          <w:rFonts w:ascii="Times New Roman" w:hAnsi="Times New Roman" w:cs="Times New Roman"/>
          <w:sz w:val="24"/>
          <w:szCs w:val="24"/>
        </w:rPr>
        <w:t xml:space="preserve">оходов на 2014 год - 9 680 </w:t>
      </w:r>
      <w:proofErr w:type="spellStart"/>
      <w:r>
        <w:rPr>
          <w:rFonts w:ascii="Times New Roman" w:hAnsi="Times New Roman" w:cs="Times New Roman"/>
          <w:sz w:val="24"/>
          <w:szCs w:val="24"/>
        </w:rPr>
        <w:t>тыс</w:t>
      </w:r>
      <w:proofErr w:type="gramStart"/>
      <w:r>
        <w:rPr>
          <w:rFonts w:ascii="Times New Roman" w:hAnsi="Times New Roman" w:cs="Times New Roman"/>
          <w:sz w:val="24"/>
          <w:szCs w:val="24"/>
        </w:rPr>
        <w:t>.</w:t>
      </w:r>
      <w:r w:rsidRPr="00AA5162">
        <w:rPr>
          <w:rFonts w:ascii="Times New Roman" w:hAnsi="Times New Roman" w:cs="Times New Roman"/>
          <w:sz w:val="24"/>
          <w:szCs w:val="24"/>
        </w:rPr>
        <w:t>р</w:t>
      </w:r>
      <w:proofErr w:type="gramEnd"/>
      <w:r w:rsidRPr="00AA5162">
        <w:rPr>
          <w:rFonts w:ascii="Times New Roman" w:hAnsi="Times New Roman" w:cs="Times New Roman"/>
          <w:sz w:val="24"/>
          <w:szCs w:val="24"/>
        </w:rPr>
        <w:t>уб</w:t>
      </w:r>
      <w:proofErr w:type="spellEnd"/>
      <w:r w:rsidRPr="00AA5162">
        <w:rPr>
          <w:rFonts w:ascii="Times New Roman" w:hAnsi="Times New Roman" w:cs="Times New Roman"/>
          <w:sz w:val="24"/>
          <w:szCs w:val="24"/>
        </w:rPr>
        <w:t>. (</w:t>
      </w:r>
      <w:r>
        <w:rPr>
          <w:rFonts w:ascii="Times New Roman" w:hAnsi="Times New Roman" w:cs="Times New Roman"/>
          <w:sz w:val="24"/>
          <w:szCs w:val="24"/>
        </w:rPr>
        <w:t>увеличение</w:t>
      </w:r>
      <w:r w:rsidRPr="00AA5162">
        <w:rPr>
          <w:rFonts w:ascii="Times New Roman" w:hAnsi="Times New Roman" w:cs="Times New Roman"/>
          <w:sz w:val="24"/>
          <w:szCs w:val="24"/>
        </w:rPr>
        <w:t xml:space="preserve"> на 36</w:t>
      </w:r>
      <w:r>
        <w:rPr>
          <w:rFonts w:ascii="Times New Roman" w:hAnsi="Times New Roman" w:cs="Times New Roman"/>
          <w:sz w:val="24"/>
          <w:szCs w:val="24"/>
        </w:rPr>
        <w:t xml:space="preserve">3 </w:t>
      </w:r>
      <w:proofErr w:type="spellStart"/>
      <w:r>
        <w:rPr>
          <w:rFonts w:ascii="Times New Roman" w:hAnsi="Times New Roman" w:cs="Times New Roman"/>
          <w:sz w:val="24"/>
          <w:szCs w:val="24"/>
        </w:rPr>
        <w:t>тыс.</w:t>
      </w:r>
      <w:r w:rsidRPr="00AA5162">
        <w:rPr>
          <w:rFonts w:ascii="Times New Roman" w:hAnsi="Times New Roman" w:cs="Times New Roman"/>
          <w:sz w:val="24"/>
          <w:szCs w:val="24"/>
        </w:rPr>
        <w:t>руб</w:t>
      </w:r>
      <w:proofErr w:type="spellEnd"/>
      <w:r w:rsidRPr="00AA5162">
        <w:rPr>
          <w:rFonts w:ascii="Times New Roman" w:hAnsi="Times New Roman" w:cs="Times New Roman"/>
          <w:sz w:val="24"/>
          <w:szCs w:val="24"/>
        </w:rPr>
        <w:t xml:space="preserve">. </w:t>
      </w:r>
      <w:r>
        <w:rPr>
          <w:rFonts w:ascii="Times New Roman" w:hAnsi="Times New Roman" w:cs="Times New Roman"/>
          <w:sz w:val="24"/>
          <w:szCs w:val="24"/>
        </w:rPr>
        <w:t xml:space="preserve">или на 3,9% по сравнению с предыдущим годом), на 2015 год - 9 923 </w:t>
      </w:r>
      <w:proofErr w:type="spellStart"/>
      <w:r>
        <w:rPr>
          <w:rFonts w:ascii="Times New Roman" w:hAnsi="Times New Roman" w:cs="Times New Roman"/>
          <w:sz w:val="24"/>
          <w:szCs w:val="24"/>
        </w:rPr>
        <w:t>тыс.</w:t>
      </w:r>
      <w:r w:rsidRPr="00AA5162">
        <w:rPr>
          <w:rFonts w:ascii="Times New Roman" w:hAnsi="Times New Roman" w:cs="Times New Roman"/>
          <w:sz w:val="24"/>
          <w:szCs w:val="24"/>
        </w:rPr>
        <w:t>руб</w:t>
      </w:r>
      <w:proofErr w:type="spellEnd"/>
      <w:r w:rsidRPr="00AA5162">
        <w:rPr>
          <w:rFonts w:ascii="Times New Roman" w:hAnsi="Times New Roman" w:cs="Times New Roman"/>
          <w:sz w:val="24"/>
          <w:szCs w:val="24"/>
        </w:rPr>
        <w:t xml:space="preserve">. </w:t>
      </w:r>
      <w:r>
        <w:rPr>
          <w:rFonts w:ascii="Times New Roman" w:hAnsi="Times New Roman" w:cs="Times New Roman"/>
          <w:sz w:val="24"/>
          <w:szCs w:val="24"/>
        </w:rPr>
        <w:t>(ув</w:t>
      </w:r>
      <w:r>
        <w:rPr>
          <w:rFonts w:ascii="Times New Roman" w:hAnsi="Times New Roman" w:cs="Times New Roman"/>
          <w:sz w:val="24"/>
          <w:szCs w:val="24"/>
        </w:rPr>
        <w:t>е</w:t>
      </w:r>
      <w:r>
        <w:rPr>
          <w:rFonts w:ascii="Times New Roman" w:hAnsi="Times New Roman" w:cs="Times New Roman"/>
          <w:sz w:val="24"/>
          <w:szCs w:val="24"/>
        </w:rPr>
        <w:t>личение</w:t>
      </w:r>
      <w:r w:rsidRPr="00AA5162">
        <w:rPr>
          <w:rFonts w:ascii="Times New Roman" w:hAnsi="Times New Roman" w:cs="Times New Roman"/>
          <w:sz w:val="24"/>
          <w:szCs w:val="24"/>
        </w:rPr>
        <w:t xml:space="preserve"> на </w:t>
      </w:r>
      <w:r>
        <w:rPr>
          <w:rFonts w:ascii="Times New Roman" w:hAnsi="Times New Roman" w:cs="Times New Roman"/>
          <w:sz w:val="24"/>
          <w:szCs w:val="24"/>
        </w:rPr>
        <w:t xml:space="preserve">243 </w:t>
      </w:r>
      <w:proofErr w:type="spellStart"/>
      <w:r>
        <w:rPr>
          <w:rFonts w:ascii="Times New Roman" w:hAnsi="Times New Roman" w:cs="Times New Roman"/>
          <w:sz w:val="24"/>
          <w:szCs w:val="24"/>
        </w:rPr>
        <w:t>тыс.</w:t>
      </w:r>
      <w:r w:rsidRPr="00AA5162">
        <w:rPr>
          <w:rFonts w:ascii="Times New Roman" w:hAnsi="Times New Roman" w:cs="Times New Roman"/>
          <w:sz w:val="24"/>
          <w:szCs w:val="24"/>
        </w:rPr>
        <w:t>руб</w:t>
      </w:r>
      <w:proofErr w:type="spellEnd"/>
      <w:r w:rsidRPr="00AA5162">
        <w:rPr>
          <w:rFonts w:ascii="Times New Roman" w:hAnsi="Times New Roman" w:cs="Times New Roman"/>
          <w:sz w:val="24"/>
          <w:szCs w:val="24"/>
        </w:rPr>
        <w:t xml:space="preserve">. </w:t>
      </w:r>
      <w:r>
        <w:rPr>
          <w:rFonts w:ascii="Times New Roman" w:hAnsi="Times New Roman" w:cs="Times New Roman"/>
          <w:sz w:val="24"/>
          <w:szCs w:val="24"/>
        </w:rPr>
        <w:t>или на 2,5%</w:t>
      </w:r>
      <w:r w:rsidRPr="00AA5162">
        <w:rPr>
          <w:rFonts w:ascii="Times New Roman" w:hAnsi="Times New Roman" w:cs="Times New Roman"/>
          <w:sz w:val="24"/>
          <w:szCs w:val="24"/>
        </w:rPr>
        <w:t xml:space="preserve">). </w:t>
      </w:r>
    </w:p>
    <w:p w:rsidR="00C83EEA" w:rsidRPr="007D03E6" w:rsidRDefault="00C83EEA" w:rsidP="00C83EEA">
      <w:pPr>
        <w:pStyle w:val="ConsPlusNormal"/>
        <w:widowControl/>
        <w:tabs>
          <w:tab w:val="left" w:pos="720"/>
        </w:tabs>
        <w:ind w:firstLine="709"/>
        <w:jc w:val="both"/>
        <w:rPr>
          <w:rFonts w:ascii="Times New Roman" w:hAnsi="Times New Roman" w:cs="Times New Roman"/>
          <w:sz w:val="24"/>
          <w:szCs w:val="24"/>
          <w:highlight w:val="yellow"/>
        </w:rPr>
      </w:pPr>
      <w:r>
        <w:rPr>
          <w:rFonts w:ascii="Times New Roman" w:hAnsi="Times New Roman" w:cs="Times New Roman"/>
          <w:sz w:val="24"/>
          <w:szCs w:val="24"/>
        </w:rPr>
        <w:t>В</w:t>
      </w:r>
      <w:r w:rsidRPr="0063791C">
        <w:rPr>
          <w:rFonts w:ascii="Times New Roman" w:hAnsi="Times New Roman" w:cs="Times New Roman"/>
          <w:sz w:val="24"/>
          <w:szCs w:val="24"/>
        </w:rPr>
        <w:t xml:space="preserve"> связи с планируемой приватизаци</w:t>
      </w:r>
      <w:r>
        <w:rPr>
          <w:rFonts w:ascii="Times New Roman" w:hAnsi="Times New Roman" w:cs="Times New Roman"/>
          <w:sz w:val="24"/>
          <w:szCs w:val="24"/>
        </w:rPr>
        <w:t xml:space="preserve">ей областных унитарных предприятий </w:t>
      </w:r>
      <w:r w:rsidRPr="0063791C">
        <w:rPr>
          <w:rFonts w:ascii="Times New Roman" w:hAnsi="Times New Roman" w:cs="Times New Roman"/>
          <w:sz w:val="24"/>
          <w:szCs w:val="24"/>
        </w:rPr>
        <w:t>в 2012 г</w:t>
      </w:r>
      <w:r>
        <w:rPr>
          <w:rFonts w:ascii="Times New Roman" w:hAnsi="Times New Roman" w:cs="Times New Roman"/>
          <w:sz w:val="24"/>
          <w:szCs w:val="24"/>
        </w:rPr>
        <w:t>оду</w:t>
      </w:r>
      <w:r w:rsidRPr="0063791C">
        <w:rPr>
          <w:rFonts w:ascii="Times New Roman" w:hAnsi="Times New Roman" w:cs="Times New Roman"/>
          <w:sz w:val="24"/>
          <w:szCs w:val="24"/>
        </w:rPr>
        <w:t xml:space="preserve"> </w:t>
      </w:r>
      <w:r>
        <w:rPr>
          <w:rFonts w:ascii="Times New Roman" w:hAnsi="Times New Roman" w:cs="Times New Roman"/>
          <w:sz w:val="24"/>
          <w:szCs w:val="24"/>
        </w:rPr>
        <w:t>(ГУП ТО «Областное ДРСУ</w:t>
      </w:r>
      <w:r w:rsidRPr="0063791C">
        <w:rPr>
          <w:rFonts w:ascii="Times New Roman" w:hAnsi="Times New Roman" w:cs="Times New Roman"/>
          <w:sz w:val="24"/>
          <w:szCs w:val="24"/>
        </w:rPr>
        <w:t>»</w:t>
      </w:r>
      <w:r>
        <w:rPr>
          <w:rFonts w:ascii="Times New Roman" w:hAnsi="Times New Roman" w:cs="Times New Roman"/>
          <w:sz w:val="24"/>
          <w:szCs w:val="24"/>
        </w:rPr>
        <w:t>)</w:t>
      </w:r>
      <w:r w:rsidRPr="0063791C">
        <w:rPr>
          <w:rFonts w:ascii="Times New Roman" w:hAnsi="Times New Roman" w:cs="Times New Roman"/>
          <w:sz w:val="24"/>
          <w:szCs w:val="24"/>
        </w:rPr>
        <w:t xml:space="preserve"> и в 2013 г</w:t>
      </w:r>
      <w:r>
        <w:rPr>
          <w:rFonts w:ascii="Times New Roman" w:hAnsi="Times New Roman" w:cs="Times New Roman"/>
          <w:sz w:val="24"/>
          <w:szCs w:val="24"/>
        </w:rPr>
        <w:t>оду</w:t>
      </w:r>
      <w:r w:rsidRPr="0063791C">
        <w:rPr>
          <w:rFonts w:ascii="Times New Roman" w:hAnsi="Times New Roman" w:cs="Times New Roman"/>
          <w:sz w:val="24"/>
          <w:szCs w:val="24"/>
        </w:rPr>
        <w:t xml:space="preserve"> </w:t>
      </w:r>
      <w:r>
        <w:rPr>
          <w:rFonts w:ascii="Times New Roman" w:hAnsi="Times New Roman" w:cs="Times New Roman"/>
          <w:sz w:val="24"/>
          <w:szCs w:val="24"/>
        </w:rPr>
        <w:t>(</w:t>
      </w:r>
      <w:r w:rsidRPr="0063791C">
        <w:rPr>
          <w:rFonts w:ascii="Times New Roman" w:hAnsi="Times New Roman" w:cs="Times New Roman"/>
          <w:sz w:val="24"/>
          <w:szCs w:val="24"/>
        </w:rPr>
        <w:t>ОГУП «Первомайское ДРСУ», ОГУП «</w:t>
      </w:r>
      <w:proofErr w:type="spellStart"/>
      <w:r w:rsidRPr="0063791C">
        <w:rPr>
          <w:rFonts w:ascii="Times New Roman" w:hAnsi="Times New Roman" w:cs="Times New Roman"/>
          <w:sz w:val="24"/>
          <w:szCs w:val="24"/>
        </w:rPr>
        <w:t>Кожевниковское</w:t>
      </w:r>
      <w:proofErr w:type="spellEnd"/>
      <w:r w:rsidRPr="0063791C">
        <w:rPr>
          <w:rFonts w:ascii="Times New Roman" w:hAnsi="Times New Roman" w:cs="Times New Roman"/>
          <w:sz w:val="24"/>
          <w:szCs w:val="24"/>
        </w:rPr>
        <w:t xml:space="preserve"> ДРСУ»</w:t>
      </w:r>
      <w:r>
        <w:rPr>
          <w:rFonts w:ascii="Times New Roman" w:hAnsi="Times New Roman" w:cs="Times New Roman"/>
          <w:sz w:val="24"/>
          <w:szCs w:val="24"/>
        </w:rPr>
        <w:t>)</w:t>
      </w:r>
      <w:r w:rsidRPr="0063791C">
        <w:rPr>
          <w:rFonts w:ascii="Times New Roman" w:hAnsi="Times New Roman" w:cs="Times New Roman"/>
          <w:sz w:val="24"/>
          <w:szCs w:val="24"/>
        </w:rPr>
        <w:t xml:space="preserve"> </w:t>
      </w:r>
      <w:r w:rsidRPr="007D03E6">
        <w:rPr>
          <w:rFonts w:ascii="Times New Roman" w:hAnsi="Times New Roman" w:cs="Times New Roman"/>
          <w:sz w:val="24"/>
          <w:szCs w:val="24"/>
        </w:rPr>
        <w:t xml:space="preserve">и </w:t>
      </w:r>
      <w:r>
        <w:rPr>
          <w:rFonts w:ascii="Times New Roman" w:hAnsi="Times New Roman" w:cs="Times New Roman"/>
          <w:sz w:val="24"/>
          <w:szCs w:val="24"/>
        </w:rPr>
        <w:t>соответствующим отчуждением из областной собственности арендованных ими земельных участков</w:t>
      </w:r>
      <w:r w:rsidRPr="007D03E6">
        <w:rPr>
          <w:rFonts w:ascii="Times New Roman" w:hAnsi="Times New Roman" w:cs="Times New Roman"/>
          <w:sz w:val="24"/>
          <w:szCs w:val="24"/>
        </w:rPr>
        <w:t>,</w:t>
      </w:r>
      <w:r>
        <w:rPr>
          <w:rFonts w:ascii="Times New Roman" w:hAnsi="Times New Roman" w:cs="Times New Roman"/>
          <w:sz w:val="24"/>
          <w:szCs w:val="24"/>
        </w:rPr>
        <w:t xml:space="preserve"> прогнозируемые</w:t>
      </w:r>
      <w:r w:rsidRPr="007D03E6">
        <w:rPr>
          <w:rFonts w:ascii="Times New Roman" w:hAnsi="Times New Roman" w:cs="Times New Roman"/>
          <w:sz w:val="24"/>
          <w:szCs w:val="24"/>
        </w:rPr>
        <w:t xml:space="preserve"> показатели по данному источн</w:t>
      </w:r>
      <w:r w:rsidRPr="007D03E6">
        <w:rPr>
          <w:rFonts w:ascii="Times New Roman" w:hAnsi="Times New Roman" w:cs="Times New Roman"/>
          <w:sz w:val="24"/>
          <w:szCs w:val="24"/>
        </w:rPr>
        <w:t>и</w:t>
      </w:r>
      <w:r w:rsidRPr="007D03E6">
        <w:rPr>
          <w:rFonts w:ascii="Times New Roman" w:hAnsi="Times New Roman" w:cs="Times New Roman"/>
          <w:sz w:val="24"/>
          <w:szCs w:val="24"/>
        </w:rPr>
        <w:t>ку могут быть не достигну</w:t>
      </w:r>
      <w:r>
        <w:rPr>
          <w:rFonts w:ascii="Times New Roman" w:hAnsi="Times New Roman" w:cs="Times New Roman"/>
          <w:sz w:val="24"/>
          <w:szCs w:val="24"/>
        </w:rPr>
        <w:t xml:space="preserve">ты: в 2013 году - на 5 100 </w:t>
      </w:r>
      <w:proofErr w:type="spellStart"/>
      <w:r>
        <w:rPr>
          <w:rFonts w:ascii="Times New Roman" w:hAnsi="Times New Roman" w:cs="Times New Roman"/>
          <w:sz w:val="24"/>
          <w:szCs w:val="24"/>
        </w:rPr>
        <w:t>тыс</w:t>
      </w:r>
      <w:proofErr w:type="gramStart"/>
      <w:r>
        <w:rPr>
          <w:rFonts w:ascii="Times New Roman" w:hAnsi="Times New Roman" w:cs="Times New Roman"/>
          <w:sz w:val="24"/>
          <w:szCs w:val="24"/>
        </w:rPr>
        <w:t>.</w:t>
      </w:r>
      <w:r w:rsidRPr="007D03E6">
        <w:rPr>
          <w:rFonts w:ascii="Times New Roman" w:hAnsi="Times New Roman" w:cs="Times New Roman"/>
          <w:sz w:val="24"/>
          <w:szCs w:val="24"/>
        </w:rPr>
        <w:t>р</w:t>
      </w:r>
      <w:proofErr w:type="gramEnd"/>
      <w:r w:rsidRPr="007D03E6">
        <w:rPr>
          <w:rFonts w:ascii="Times New Roman" w:hAnsi="Times New Roman" w:cs="Times New Roman"/>
          <w:sz w:val="24"/>
          <w:szCs w:val="24"/>
        </w:rPr>
        <w:t>уб</w:t>
      </w:r>
      <w:proofErr w:type="spellEnd"/>
      <w:r w:rsidRPr="007D03E6">
        <w:rPr>
          <w:rFonts w:ascii="Times New Roman" w:hAnsi="Times New Roman" w:cs="Times New Roman"/>
          <w:sz w:val="24"/>
          <w:szCs w:val="24"/>
        </w:rPr>
        <w:t>., в 2014 году - на</w:t>
      </w:r>
      <w:r>
        <w:rPr>
          <w:rFonts w:ascii="Times New Roman" w:hAnsi="Times New Roman" w:cs="Times New Roman"/>
          <w:sz w:val="24"/>
          <w:szCs w:val="24"/>
        </w:rPr>
        <w:t xml:space="preserve"> 5 536 </w:t>
      </w:r>
      <w:proofErr w:type="spellStart"/>
      <w:r>
        <w:rPr>
          <w:rFonts w:ascii="Times New Roman" w:hAnsi="Times New Roman" w:cs="Times New Roman"/>
          <w:sz w:val="24"/>
          <w:szCs w:val="24"/>
        </w:rPr>
        <w:t>тыс.</w:t>
      </w:r>
      <w:r w:rsidRPr="007D03E6">
        <w:rPr>
          <w:rFonts w:ascii="Times New Roman" w:hAnsi="Times New Roman" w:cs="Times New Roman"/>
          <w:sz w:val="24"/>
          <w:szCs w:val="24"/>
        </w:rPr>
        <w:t>ру</w:t>
      </w:r>
      <w:r>
        <w:rPr>
          <w:rFonts w:ascii="Times New Roman" w:hAnsi="Times New Roman" w:cs="Times New Roman"/>
          <w:sz w:val="24"/>
          <w:szCs w:val="24"/>
        </w:rPr>
        <w:t>б</w:t>
      </w:r>
      <w:proofErr w:type="spellEnd"/>
      <w:r>
        <w:rPr>
          <w:rFonts w:ascii="Times New Roman" w:hAnsi="Times New Roman" w:cs="Times New Roman"/>
          <w:sz w:val="24"/>
          <w:szCs w:val="24"/>
        </w:rPr>
        <w:t xml:space="preserve">., в 2015 году - на 5 572 </w:t>
      </w:r>
      <w:proofErr w:type="spellStart"/>
      <w:r>
        <w:rPr>
          <w:rFonts w:ascii="Times New Roman" w:hAnsi="Times New Roman" w:cs="Times New Roman"/>
          <w:sz w:val="24"/>
          <w:szCs w:val="24"/>
        </w:rPr>
        <w:t>тыс</w:t>
      </w:r>
      <w:proofErr w:type="gramStart"/>
      <w:r>
        <w:rPr>
          <w:rFonts w:ascii="Times New Roman" w:hAnsi="Times New Roman" w:cs="Times New Roman"/>
          <w:sz w:val="24"/>
          <w:szCs w:val="24"/>
        </w:rPr>
        <w:t>.</w:t>
      </w:r>
      <w:r w:rsidRPr="007D03E6">
        <w:rPr>
          <w:rFonts w:ascii="Times New Roman" w:hAnsi="Times New Roman" w:cs="Times New Roman"/>
          <w:sz w:val="24"/>
          <w:szCs w:val="24"/>
        </w:rPr>
        <w:t>р</w:t>
      </w:r>
      <w:proofErr w:type="gramEnd"/>
      <w:r w:rsidRPr="007D03E6">
        <w:rPr>
          <w:rFonts w:ascii="Times New Roman" w:hAnsi="Times New Roman" w:cs="Times New Roman"/>
          <w:sz w:val="24"/>
          <w:szCs w:val="24"/>
        </w:rPr>
        <w:t>уб</w:t>
      </w:r>
      <w:proofErr w:type="spellEnd"/>
      <w:r w:rsidRPr="007D03E6">
        <w:rPr>
          <w:rFonts w:ascii="Times New Roman" w:hAnsi="Times New Roman" w:cs="Times New Roman"/>
          <w:sz w:val="24"/>
          <w:szCs w:val="24"/>
        </w:rPr>
        <w:t xml:space="preserve">. </w:t>
      </w:r>
      <w:r>
        <w:rPr>
          <w:rFonts w:ascii="Times New Roman" w:hAnsi="Times New Roman" w:cs="Times New Roman"/>
          <w:sz w:val="24"/>
          <w:szCs w:val="24"/>
        </w:rPr>
        <w:t>Вместе с тем резервом увеличения указанных дох</w:t>
      </w:r>
      <w:r>
        <w:rPr>
          <w:rFonts w:ascii="Times New Roman" w:hAnsi="Times New Roman" w:cs="Times New Roman"/>
          <w:sz w:val="24"/>
          <w:szCs w:val="24"/>
        </w:rPr>
        <w:t>о</w:t>
      </w:r>
      <w:r>
        <w:rPr>
          <w:rFonts w:ascii="Times New Roman" w:hAnsi="Times New Roman" w:cs="Times New Roman"/>
          <w:sz w:val="24"/>
          <w:szCs w:val="24"/>
        </w:rPr>
        <w:t>дов является активизация работы по предоставлению в аренду земельных участков, нах</w:t>
      </w:r>
      <w:r>
        <w:rPr>
          <w:rFonts w:ascii="Times New Roman" w:hAnsi="Times New Roman" w:cs="Times New Roman"/>
          <w:sz w:val="24"/>
          <w:szCs w:val="24"/>
        </w:rPr>
        <w:t>о</w:t>
      </w:r>
      <w:r>
        <w:rPr>
          <w:rFonts w:ascii="Times New Roman" w:hAnsi="Times New Roman" w:cs="Times New Roman"/>
          <w:sz w:val="24"/>
          <w:szCs w:val="24"/>
        </w:rPr>
        <w:t>дящихся в Казне Томской области.</w:t>
      </w:r>
    </w:p>
    <w:p w:rsidR="00C83EEA" w:rsidRPr="00C22038" w:rsidRDefault="00C83EEA" w:rsidP="00C83EEA">
      <w:pPr>
        <w:numPr>
          <w:ilvl w:val="0"/>
          <w:numId w:val="4"/>
        </w:numPr>
        <w:tabs>
          <w:tab w:val="left" w:pos="851"/>
        </w:tabs>
        <w:ind w:left="0" w:firstLine="709"/>
        <w:jc w:val="both"/>
      </w:pPr>
      <w:r>
        <w:t xml:space="preserve"> </w:t>
      </w:r>
      <w:r w:rsidRPr="00C22038">
        <w:t>Доходы, получаемые в виде арендной платы за земельные участки, которые н</w:t>
      </w:r>
      <w:r w:rsidRPr="00C22038">
        <w:t>а</w:t>
      </w:r>
      <w:r w:rsidRPr="00C22038">
        <w:t>ходятся в федеральной собственности и осуществление полномочий по управлению и распоряжению которыми передано орган</w:t>
      </w:r>
      <w:r>
        <w:t>а</w:t>
      </w:r>
      <w:r w:rsidRPr="00C22038">
        <w:t>м государственной власти субъектов РФ, а та</w:t>
      </w:r>
      <w:r w:rsidRPr="00C22038">
        <w:t>к</w:t>
      </w:r>
      <w:r w:rsidRPr="00C22038">
        <w:t xml:space="preserve">же средства от продажи права на заключение договоров аренды указанных земельных участков </w:t>
      </w:r>
      <w:r w:rsidRPr="00C22038">
        <w:rPr>
          <w:snapToGrid w:val="0"/>
        </w:rPr>
        <w:t>прогнозируются</w:t>
      </w:r>
      <w:r w:rsidRPr="00C22038">
        <w:t xml:space="preserve"> на 201</w:t>
      </w:r>
      <w:r>
        <w:t xml:space="preserve">3, 2014 годы в сумме 7 154 </w:t>
      </w:r>
      <w:proofErr w:type="spellStart"/>
      <w:r>
        <w:t>тыс</w:t>
      </w:r>
      <w:proofErr w:type="gramStart"/>
      <w:r>
        <w:t>.</w:t>
      </w:r>
      <w:r w:rsidRPr="00C22038">
        <w:t>р</w:t>
      </w:r>
      <w:proofErr w:type="gramEnd"/>
      <w:r w:rsidRPr="00C22038">
        <w:t>уб</w:t>
      </w:r>
      <w:proofErr w:type="spellEnd"/>
      <w:r w:rsidRPr="00C22038">
        <w:t>. ежегодно (</w:t>
      </w:r>
      <w:r>
        <w:t>в соотве</w:t>
      </w:r>
      <w:r>
        <w:t>т</w:t>
      </w:r>
      <w:r>
        <w:t>ствии с</w:t>
      </w:r>
      <w:r w:rsidRPr="00C22038">
        <w:t xml:space="preserve"> договор</w:t>
      </w:r>
      <w:r>
        <w:t xml:space="preserve">ом </w:t>
      </w:r>
      <w:r w:rsidRPr="00C22038">
        <w:t xml:space="preserve">аренды земельного участка площадью </w:t>
      </w:r>
      <w:smartTag w:uri="urn:schemas-microsoft-com:office:smarttags" w:element="metricconverter">
        <w:smartTagPr>
          <w:attr w:name="ProductID" w:val="90 га"/>
        </w:smartTagPr>
        <w:r w:rsidRPr="00C22038">
          <w:t>90 га</w:t>
        </w:r>
      </w:smartTag>
      <w:r w:rsidRPr="00C22038">
        <w:t xml:space="preserve">, расположенного в </w:t>
      </w:r>
      <w:smartTag w:uri="urn:schemas-microsoft-com:office:smarttags" w:element="metricconverter">
        <w:smartTagPr>
          <w:attr w:name="ProductID" w:val="5 км"/>
        </w:smartTagPr>
        <w:r w:rsidRPr="00C22038">
          <w:t>5 км</w:t>
        </w:r>
      </w:smartTag>
      <w:r>
        <w:t xml:space="preserve"> от </w:t>
      </w:r>
      <w:proofErr w:type="spellStart"/>
      <w:r>
        <w:t>с</w:t>
      </w:r>
      <w:proofErr w:type="gramStart"/>
      <w:r>
        <w:t>.</w:t>
      </w:r>
      <w:r w:rsidRPr="00C22038">
        <w:t>К</w:t>
      </w:r>
      <w:proofErr w:type="gramEnd"/>
      <w:r w:rsidRPr="00C22038">
        <w:t>оларово</w:t>
      </w:r>
      <w:proofErr w:type="spellEnd"/>
      <w:r w:rsidRPr="00C22038">
        <w:t>, для его комплексного освоения в целях жилищного строительства, заключенн</w:t>
      </w:r>
      <w:r>
        <w:t>ы</w:t>
      </w:r>
      <w:r>
        <w:t>м</w:t>
      </w:r>
      <w:r w:rsidRPr="00C22038">
        <w:t xml:space="preserve"> в 2010 году с УМП «</w:t>
      </w:r>
      <w:proofErr w:type="spellStart"/>
      <w:r w:rsidRPr="00C22038">
        <w:t>Томскстройзаказчик</w:t>
      </w:r>
      <w:proofErr w:type="spellEnd"/>
      <w:r w:rsidRPr="00C22038">
        <w:t xml:space="preserve">»). </w:t>
      </w:r>
    </w:p>
    <w:p w:rsidR="00C83EEA" w:rsidRDefault="00C83EEA" w:rsidP="00C83EEA">
      <w:pPr>
        <w:ind w:firstLine="709"/>
        <w:jc w:val="both"/>
      </w:pPr>
      <w:r>
        <w:t>Установленный н</w:t>
      </w:r>
      <w:r w:rsidRPr="00C22038">
        <w:t xml:space="preserve">а 2012 год </w:t>
      </w:r>
      <w:r>
        <w:t>план</w:t>
      </w:r>
      <w:r w:rsidRPr="00C22038">
        <w:t xml:space="preserve"> по данному источнику доходов</w:t>
      </w:r>
      <w:r>
        <w:t xml:space="preserve"> в</w:t>
      </w:r>
      <w:r w:rsidRPr="00C22038">
        <w:t xml:space="preserve"> </w:t>
      </w:r>
      <w:r>
        <w:t xml:space="preserve">сумме 14 308 </w:t>
      </w:r>
      <w:proofErr w:type="spellStart"/>
      <w:r>
        <w:t>тыс</w:t>
      </w:r>
      <w:proofErr w:type="gramStart"/>
      <w:r>
        <w:t>.</w:t>
      </w:r>
      <w:r w:rsidRPr="00C22038">
        <w:t>р</w:t>
      </w:r>
      <w:proofErr w:type="gramEnd"/>
      <w:r w:rsidRPr="00C22038">
        <w:t>уб</w:t>
      </w:r>
      <w:proofErr w:type="spellEnd"/>
      <w:r w:rsidRPr="00C22038">
        <w:t>.</w:t>
      </w:r>
      <w:r>
        <w:t xml:space="preserve"> не исполнен (</w:t>
      </w:r>
      <w:r w:rsidRPr="00C22038">
        <w:t xml:space="preserve">ожидаемое поступление </w:t>
      </w:r>
      <w:r>
        <w:t>-</w:t>
      </w:r>
      <w:r w:rsidRPr="00C22038">
        <w:t xml:space="preserve"> 0</w:t>
      </w:r>
      <w:r>
        <w:t>)</w:t>
      </w:r>
      <w:r w:rsidRPr="00C22038">
        <w:t>. Платежи за аренду земельного учас</w:t>
      </w:r>
      <w:r w:rsidRPr="00C22038">
        <w:t>т</w:t>
      </w:r>
      <w:r w:rsidRPr="00C22038">
        <w:t>ка указанным арендатором не осуществля</w:t>
      </w:r>
      <w:r>
        <w:t>ются</w:t>
      </w:r>
      <w:r w:rsidRPr="00C22038">
        <w:t>, задолженность по арендной плате (без учета неустойк</w:t>
      </w:r>
      <w:r>
        <w:t>и) по состоянию на 01.09.2012</w:t>
      </w:r>
      <w:r w:rsidRPr="00C22038">
        <w:t xml:space="preserve"> состав</w:t>
      </w:r>
      <w:r w:rsidRPr="00C22038">
        <w:t>и</w:t>
      </w:r>
      <w:r>
        <w:t xml:space="preserve">ла 9 358,0 </w:t>
      </w:r>
      <w:proofErr w:type="spellStart"/>
      <w:r>
        <w:t>тыс</w:t>
      </w:r>
      <w:proofErr w:type="gramStart"/>
      <w:r>
        <w:t>.</w:t>
      </w:r>
      <w:r w:rsidRPr="00C22038">
        <w:t>р</w:t>
      </w:r>
      <w:proofErr w:type="gramEnd"/>
      <w:r w:rsidRPr="00C22038">
        <w:t>уб</w:t>
      </w:r>
      <w:proofErr w:type="spellEnd"/>
      <w:r w:rsidRPr="00C22038">
        <w:t>.</w:t>
      </w:r>
      <w:r>
        <w:t>,</w:t>
      </w:r>
      <w:r w:rsidRPr="00C22038">
        <w:t xml:space="preserve"> в том</w:t>
      </w:r>
      <w:r>
        <w:t xml:space="preserve"> числе за 2010 год - 734,7 </w:t>
      </w:r>
      <w:proofErr w:type="spellStart"/>
      <w:r>
        <w:t>тыс.</w:t>
      </w:r>
      <w:r w:rsidRPr="00C22038">
        <w:t>р</w:t>
      </w:r>
      <w:r>
        <w:t>уб</w:t>
      </w:r>
      <w:proofErr w:type="spellEnd"/>
      <w:r>
        <w:t xml:space="preserve">., за 2011 год - 1 469,5 </w:t>
      </w:r>
      <w:proofErr w:type="spellStart"/>
      <w:r>
        <w:t>тыс.</w:t>
      </w:r>
      <w:r w:rsidRPr="00C22038">
        <w:t>руб</w:t>
      </w:r>
      <w:proofErr w:type="spellEnd"/>
      <w:r w:rsidRPr="00C22038">
        <w:t>., за 1 пол</w:t>
      </w:r>
      <w:r>
        <w:t xml:space="preserve">угодие 2012 года - 7 153,8 </w:t>
      </w:r>
      <w:proofErr w:type="spellStart"/>
      <w:r>
        <w:t>тыс.</w:t>
      </w:r>
      <w:r w:rsidRPr="00C22038">
        <w:t>руб</w:t>
      </w:r>
      <w:proofErr w:type="spellEnd"/>
      <w:r w:rsidRPr="00C22038">
        <w:t xml:space="preserve">. </w:t>
      </w:r>
      <w:r>
        <w:t>Меры по обеспечению взыскания указанной задолженности в судебном поря</w:t>
      </w:r>
      <w:r>
        <w:t>д</w:t>
      </w:r>
      <w:r>
        <w:t xml:space="preserve">ке </w:t>
      </w:r>
      <w:r w:rsidRPr="00DF331F">
        <w:t>Департаментом архитектуры, строительства и дорожного комплекса Томской области (администратором данного вида доходов) не пр</w:t>
      </w:r>
      <w:r w:rsidRPr="00DF331F">
        <w:t>и</w:t>
      </w:r>
      <w:r w:rsidRPr="00DF331F">
        <w:t>н</w:t>
      </w:r>
      <w:r>
        <w:t>яты</w:t>
      </w:r>
      <w:r w:rsidRPr="00DF331F">
        <w:t xml:space="preserve">. </w:t>
      </w:r>
      <w:r>
        <w:t>Более того, предоставлены сведения о том, что УМП «</w:t>
      </w:r>
      <w:proofErr w:type="spellStart"/>
      <w:r>
        <w:t>Томскстройзаказчик</w:t>
      </w:r>
      <w:proofErr w:type="spellEnd"/>
      <w:r>
        <w:t>» передало свои права и обязанности по вышеук</w:t>
      </w:r>
      <w:r>
        <w:t>а</w:t>
      </w:r>
      <w:r>
        <w:t>занному договору аренды земельного участка Обществу с ограниченной ответственн</w:t>
      </w:r>
      <w:r>
        <w:t>о</w:t>
      </w:r>
      <w:r>
        <w:t>стью «</w:t>
      </w:r>
      <w:proofErr w:type="spellStart"/>
      <w:r>
        <w:t>Томскстройзаказчик</w:t>
      </w:r>
      <w:proofErr w:type="spellEnd"/>
      <w:r>
        <w:t xml:space="preserve"> Плюс» - в нарушение п.5 ст. 18  Федерального закона «О государственных и муниципальных унитарных пре</w:t>
      </w:r>
      <w:r>
        <w:t>д</w:t>
      </w:r>
      <w:r>
        <w:t>приятиях».</w:t>
      </w:r>
    </w:p>
    <w:p w:rsidR="00C83EEA" w:rsidRDefault="00C83EEA" w:rsidP="00C83EEA">
      <w:pPr>
        <w:ind w:firstLine="709"/>
        <w:jc w:val="both"/>
      </w:pPr>
      <w:r>
        <w:lastRenderedPageBreak/>
        <w:t>В связи с вышеизложенным</w:t>
      </w:r>
      <w:r w:rsidRPr="006C7C09">
        <w:t xml:space="preserve"> планир</w:t>
      </w:r>
      <w:r>
        <w:t>уемые</w:t>
      </w:r>
      <w:r w:rsidRPr="006C7C09">
        <w:t xml:space="preserve"> </w:t>
      </w:r>
      <w:r>
        <w:t xml:space="preserve">на 2013 и 2014 годы </w:t>
      </w:r>
      <w:r w:rsidRPr="006C7C09">
        <w:t>доходы</w:t>
      </w:r>
      <w:r w:rsidRPr="00C22038">
        <w:t xml:space="preserve"> в виде арендной платы за земельные участки, которые находятся в федеральной собстве</w:t>
      </w:r>
      <w:r w:rsidRPr="00C22038">
        <w:t>н</w:t>
      </w:r>
      <w:r w:rsidRPr="00C22038">
        <w:t>ности</w:t>
      </w:r>
      <w:r>
        <w:t xml:space="preserve">, </w:t>
      </w:r>
      <w:r w:rsidRPr="006C7C09">
        <w:t xml:space="preserve">в </w:t>
      </w:r>
      <w:r>
        <w:t>сум</w:t>
      </w:r>
      <w:r w:rsidRPr="006C7C09">
        <w:t xml:space="preserve">ме </w:t>
      </w:r>
      <w:r>
        <w:t xml:space="preserve">7 154 </w:t>
      </w:r>
      <w:proofErr w:type="spellStart"/>
      <w:r>
        <w:t>тыс</w:t>
      </w:r>
      <w:proofErr w:type="gramStart"/>
      <w:r>
        <w:t>.</w:t>
      </w:r>
      <w:r w:rsidRPr="006C7C09">
        <w:t>р</w:t>
      </w:r>
      <w:proofErr w:type="gramEnd"/>
      <w:r w:rsidRPr="006C7C09">
        <w:t>уб</w:t>
      </w:r>
      <w:proofErr w:type="spellEnd"/>
      <w:r w:rsidRPr="006C7C09">
        <w:t>.</w:t>
      </w:r>
      <w:r>
        <w:t xml:space="preserve"> ежегодно могут не достичь прогнозируемых значений. </w:t>
      </w:r>
      <w:r w:rsidRPr="00FC6C27">
        <w:t xml:space="preserve">Вместе с тем в ноябре 2012 года планируется проведение повторного аукциона </w:t>
      </w:r>
      <w:r>
        <w:t>по продаже</w:t>
      </w:r>
      <w:r w:rsidRPr="00FC6C27">
        <w:t xml:space="preserve"> прав</w:t>
      </w:r>
      <w:r>
        <w:t>а на</w:t>
      </w:r>
      <w:r w:rsidRPr="00FC6C27">
        <w:t xml:space="preserve"> заключени</w:t>
      </w:r>
      <w:r>
        <w:t>е</w:t>
      </w:r>
      <w:r w:rsidRPr="00FC6C27">
        <w:t xml:space="preserve"> договора аренды земельного участка площадью </w:t>
      </w:r>
      <w:smartTag w:uri="urn:schemas-microsoft-com:office:smarttags" w:element="metricconverter">
        <w:smartTagPr>
          <w:attr w:name="ProductID" w:val="20,3 га"/>
        </w:smartTagPr>
        <w:r w:rsidRPr="00FC6C27">
          <w:t>20</w:t>
        </w:r>
        <w:r>
          <w:t>,</w:t>
        </w:r>
        <w:r w:rsidRPr="00FC6C27">
          <w:t>3 га</w:t>
        </w:r>
      </w:smartTag>
      <w:r w:rsidRPr="00FC6C27">
        <w:t>, расположенного по ад</w:t>
      </w:r>
      <w:r>
        <w:t xml:space="preserve">ресу: </w:t>
      </w:r>
      <w:proofErr w:type="spellStart"/>
      <w:r>
        <w:t>г</w:t>
      </w:r>
      <w:proofErr w:type="gramStart"/>
      <w:r>
        <w:t>.Т</w:t>
      </w:r>
      <w:proofErr w:type="gramEnd"/>
      <w:r>
        <w:t>омск</w:t>
      </w:r>
      <w:proofErr w:type="spellEnd"/>
      <w:r>
        <w:t xml:space="preserve">, </w:t>
      </w:r>
      <w:proofErr w:type="spellStart"/>
      <w:r>
        <w:t>Кузовлевский</w:t>
      </w:r>
      <w:proofErr w:type="spellEnd"/>
      <w:r>
        <w:t xml:space="preserve"> тракт,</w:t>
      </w:r>
      <w:r w:rsidRPr="00FC6C27">
        <w:t>2б, для комплексного освоения в целях строител</w:t>
      </w:r>
      <w:r w:rsidRPr="00FC6C27">
        <w:t>ь</w:t>
      </w:r>
      <w:r w:rsidRPr="00FC6C27">
        <w:t>ства малоэтажного жилья экономического класса</w:t>
      </w:r>
      <w:r>
        <w:t xml:space="preserve">. Таким образом, </w:t>
      </w:r>
      <w:r w:rsidRPr="00FC6C27">
        <w:t>имеется резерв увеличения доходов по данному источнику (в случае заключения договора аренды указанного земел</w:t>
      </w:r>
      <w:r w:rsidRPr="00FC6C27">
        <w:t>ь</w:t>
      </w:r>
      <w:r w:rsidRPr="00FC6C27">
        <w:t>ного участка</w:t>
      </w:r>
      <w:r>
        <w:t xml:space="preserve"> с победителем торгов</w:t>
      </w:r>
      <w:r w:rsidRPr="00FC6C27">
        <w:t>).</w:t>
      </w:r>
    </w:p>
    <w:p w:rsidR="00C83EEA" w:rsidRDefault="00C83EEA" w:rsidP="00C83EEA">
      <w:pPr>
        <w:numPr>
          <w:ilvl w:val="0"/>
          <w:numId w:val="4"/>
        </w:numPr>
        <w:tabs>
          <w:tab w:val="left" w:pos="851"/>
        </w:tabs>
        <w:ind w:left="0" w:firstLine="709"/>
        <w:jc w:val="both"/>
      </w:pPr>
      <w:r>
        <w:t xml:space="preserve"> </w:t>
      </w:r>
      <w:r w:rsidRPr="00ED627A">
        <w:t>Доходы от сдачи в аренду имущества, находящегося в оперативном управлении органов государственной власти Томской области и созданных ими учреждений (за и</w:t>
      </w:r>
      <w:r w:rsidRPr="00ED627A">
        <w:t>с</w:t>
      </w:r>
      <w:r w:rsidRPr="00ED627A">
        <w:t>ключением имущества бюджетных и автономных учреждений),</w:t>
      </w:r>
      <w:r w:rsidRPr="00ED627A">
        <w:rPr>
          <w:b/>
        </w:rPr>
        <w:t xml:space="preserve"> </w:t>
      </w:r>
      <w:r w:rsidRPr="00ED627A">
        <w:t xml:space="preserve">предусмотрены на 2013-2015 годы на уровне ожидаемого исполнения за 2012 год - в сумме 30 098 </w:t>
      </w:r>
      <w:proofErr w:type="spellStart"/>
      <w:r w:rsidRPr="00ED627A">
        <w:t>тыс</w:t>
      </w:r>
      <w:proofErr w:type="gramStart"/>
      <w:r w:rsidRPr="00ED627A">
        <w:t>.р</w:t>
      </w:r>
      <w:proofErr w:type="gramEnd"/>
      <w:r w:rsidRPr="00ED627A">
        <w:t>уб</w:t>
      </w:r>
      <w:proofErr w:type="spellEnd"/>
      <w:r w:rsidRPr="00ED627A">
        <w:t>. еж</w:t>
      </w:r>
      <w:r w:rsidRPr="00ED627A">
        <w:t>е</w:t>
      </w:r>
      <w:r w:rsidRPr="00ED627A">
        <w:t xml:space="preserve">годно. </w:t>
      </w:r>
    </w:p>
    <w:p w:rsidR="00C83EEA" w:rsidRPr="007451F9" w:rsidRDefault="00C83EEA" w:rsidP="00C83EEA">
      <w:pPr>
        <w:ind w:firstLine="709"/>
        <w:jc w:val="both"/>
      </w:pPr>
      <w:r w:rsidRPr="007451F9">
        <w:t>Расчет произведен</w:t>
      </w:r>
      <w:r w:rsidRPr="005A4748">
        <w:t xml:space="preserve"> </w:t>
      </w:r>
      <w:r w:rsidRPr="006A5C75">
        <w:t xml:space="preserve">администратором </w:t>
      </w:r>
      <w:r>
        <w:t xml:space="preserve">данного источника </w:t>
      </w:r>
      <w:r w:rsidRPr="006A5C75">
        <w:t>доходов</w:t>
      </w:r>
      <w:r>
        <w:t xml:space="preserve"> (</w:t>
      </w:r>
      <w:r w:rsidRPr="007451F9">
        <w:t xml:space="preserve">Департаментом по управлению государственной собственностью </w:t>
      </w:r>
      <w:r>
        <w:t xml:space="preserve">Томской области) </w:t>
      </w:r>
      <w:r w:rsidRPr="007451F9">
        <w:t>исходя из величины арендных платежей по договорам аренды областного имущества</w:t>
      </w:r>
      <w:r>
        <w:t>,</w:t>
      </w:r>
      <w:r w:rsidRPr="006C110E">
        <w:t xml:space="preserve"> </w:t>
      </w:r>
      <w:r w:rsidRPr="007451F9">
        <w:t xml:space="preserve">действовавшим </w:t>
      </w:r>
      <w:r>
        <w:t>по с</w:t>
      </w:r>
      <w:r>
        <w:t>о</w:t>
      </w:r>
      <w:r>
        <w:t xml:space="preserve">стоянию </w:t>
      </w:r>
      <w:r w:rsidRPr="0024404B">
        <w:t>на 01</w:t>
      </w:r>
      <w:r>
        <w:t>.06.2012</w:t>
      </w:r>
      <w:r w:rsidRPr="0024404B">
        <w:t>,</w:t>
      </w:r>
      <w:r w:rsidRPr="007451F9">
        <w:t xml:space="preserve"> без </w:t>
      </w:r>
      <w:r>
        <w:t>учета</w:t>
      </w:r>
      <w:r w:rsidRPr="007451F9">
        <w:t xml:space="preserve"> индекса</w:t>
      </w:r>
      <w:r>
        <w:t>ции в планируемом периоде</w:t>
      </w:r>
      <w:r w:rsidRPr="007451F9">
        <w:t xml:space="preserve">. </w:t>
      </w:r>
      <w:r>
        <w:t>В законопроекте п</w:t>
      </w:r>
      <w:r w:rsidRPr="007451F9">
        <w:t>рогноз доходов по данному источнику на 2013 и 2014 годы снижен по сравнению с об</w:t>
      </w:r>
      <w:r w:rsidRPr="007451F9">
        <w:t>ъ</w:t>
      </w:r>
      <w:r w:rsidRPr="007451F9">
        <w:t xml:space="preserve">емами, </w:t>
      </w:r>
      <w:r>
        <w:t>учтенными в</w:t>
      </w:r>
      <w:r w:rsidRPr="007451F9">
        <w:t xml:space="preserve"> Закон</w:t>
      </w:r>
      <w:r>
        <w:t>е</w:t>
      </w:r>
      <w:r w:rsidRPr="007451F9">
        <w:t xml:space="preserve"> Томской области «Об областном бюджете на 2012 год и на плановый период 2013 и 2014 годов», соответс</w:t>
      </w:r>
      <w:r w:rsidRPr="007451F9">
        <w:t>т</w:t>
      </w:r>
      <w:r w:rsidRPr="007451F9">
        <w:t xml:space="preserve">венно на </w:t>
      </w:r>
      <w:r>
        <w:t xml:space="preserve">1 505 </w:t>
      </w:r>
      <w:proofErr w:type="spellStart"/>
      <w:r>
        <w:t>тыс</w:t>
      </w:r>
      <w:proofErr w:type="gramStart"/>
      <w:r>
        <w:t>.р</w:t>
      </w:r>
      <w:proofErr w:type="gramEnd"/>
      <w:r>
        <w:t>уб</w:t>
      </w:r>
      <w:proofErr w:type="spellEnd"/>
      <w:r>
        <w:t>. (</w:t>
      </w:r>
      <w:r w:rsidRPr="007451F9">
        <w:t>4,8%</w:t>
      </w:r>
      <w:r>
        <w:t>)</w:t>
      </w:r>
      <w:r w:rsidRPr="007451F9">
        <w:t xml:space="preserve"> и </w:t>
      </w:r>
      <w:r>
        <w:t xml:space="preserve">на 2 337 </w:t>
      </w:r>
      <w:proofErr w:type="spellStart"/>
      <w:r>
        <w:t>тыс.руб</w:t>
      </w:r>
      <w:proofErr w:type="spellEnd"/>
      <w:r>
        <w:t>. (</w:t>
      </w:r>
      <w:r w:rsidRPr="007451F9">
        <w:t>7,2%</w:t>
      </w:r>
      <w:r>
        <w:t>)</w:t>
      </w:r>
      <w:r w:rsidRPr="007451F9">
        <w:t xml:space="preserve">. </w:t>
      </w:r>
    </w:p>
    <w:p w:rsidR="00C83EEA" w:rsidRDefault="00C83EEA" w:rsidP="00C83EEA">
      <w:pPr>
        <w:ind w:firstLine="709"/>
        <w:jc w:val="both"/>
        <w:rPr>
          <w:b/>
          <w:snapToGrid w:val="0"/>
          <w:szCs w:val="28"/>
        </w:rPr>
      </w:pPr>
      <w:proofErr w:type="gramStart"/>
      <w:r w:rsidRPr="007451F9">
        <w:t>По оценк</w:t>
      </w:r>
      <w:r>
        <w:t>ам</w:t>
      </w:r>
      <w:r w:rsidRPr="007451F9">
        <w:t xml:space="preserve"> Контрольно-счетной палаты, произведенн</w:t>
      </w:r>
      <w:r>
        <w:t>ым</w:t>
      </w:r>
      <w:r w:rsidRPr="007451F9">
        <w:t xml:space="preserve"> на основании договоров аренды</w:t>
      </w:r>
      <w:r>
        <w:t xml:space="preserve"> областного имущества</w:t>
      </w:r>
      <w:r w:rsidRPr="007451F9">
        <w:t xml:space="preserve">, действующих по состоянию на 01.09.2012, </w:t>
      </w:r>
      <w:r>
        <w:t>и прогн</w:t>
      </w:r>
      <w:r>
        <w:t>о</w:t>
      </w:r>
      <w:r>
        <w:t xml:space="preserve">зируемых темпов роста величины </w:t>
      </w:r>
      <w:r w:rsidRPr="007451F9">
        <w:t>арендной платы</w:t>
      </w:r>
      <w:r>
        <w:t xml:space="preserve"> (с учетом индекса потребительских цен)</w:t>
      </w:r>
      <w:r w:rsidRPr="007451F9">
        <w:t xml:space="preserve">, </w:t>
      </w:r>
      <w:r w:rsidRPr="007451F9">
        <w:rPr>
          <w:b/>
        </w:rPr>
        <w:t>прогноз доходов от сдачи в аренду имущества, находящегося в оперативном управлении органов государственной власти Томской области и созданных ими у</w:t>
      </w:r>
      <w:r w:rsidRPr="007451F9">
        <w:rPr>
          <w:b/>
        </w:rPr>
        <w:t>ч</w:t>
      </w:r>
      <w:r w:rsidRPr="007451F9">
        <w:rPr>
          <w:b/>
        </w:rPr>
        <w:t>реждений (за исключением имущества бюджетных и автономных учреждений)</w:t>
      </w:r>
      <w:r w:rsidRPr="007451F9">
        <w:rPr>
          <w:b/>
          <w:snapToGrid w:val="0"/>
          <w:szCs w:val="28"/>
        </w:rPr>
        <w:t>,</w:t>
      </w:r>
      <w:r w:rsidRPr="007451F9">
        <w:rPr>
          <w:snapToGrid w:val="0"/>
          <w:szCs w:val="28"/>
        </w:rPr>
        <w:t xml:space="preserve"> </w:t>
      </w:r>
      <w:r w:rsidRPr="007451F9">
        <w:rPr>
          <w:b/>
          <w:snapToGrid w:val="0"/>
          <w:szCs w:val="28"/>
        </w:rPr>
        <w:t>на 2013 год в</w:t>
      </w:r>
      <w:r>
        <w:rPr>
          <w:b/>
          <w:snapToGrid w:val="0"/>
          <w:szCs w:val="28"/>
        </w:rPr>
        <w:t>озможно увеличить</w:t>
      </w:r>
      <w:proofErr w:type="gramEnd"/>
      <w:r>
        <w:rPr>
          <w:b/>
          <w:snapToGrid w:val="0"/>
          <w:szCs w:val="28"/>
        </w:rPr>
        <w:t xml:space="preserve"> на 3 052 </w:t>
      </w:r>
      <w:proofErr w:type="spellStart"/>
      <w:r>
        <w:rPr>
          <w:b/>
          <w:snapToGrid w:val="0"/>
          <w:szCs w:val="28"/>
        </w:rPr>
        <w:t>тыс</w:t>
      </w:r>
      <w:proofErr w:type="gramStart"/>
      <w:r>
        <w:rPr>
          <w:b/>
          <w:snapToGrid w:val="0"/>
          <w:szCs w:val="28"/>
        </w:rPr>
        <w:t>.</w:t>
      </w:r>
      <w:r w:rsidRPr="007451F9">
        <w:rPr>
          <w:b/>
          <w:snapToGrid w:val="0"/>
          <w:szCs w:val="28"/>
        </w:rPr>
        <w:t>р</w:t>
      </w:r>
      <w:proofErr w:type="gramEnd"/>
      <w:r w:rsidRPr="007451F9">
        <w:rPr>
          <w:b/>
          <w:snapToGrid w:val="0"/>
          <w:szCs w:val="28"/>
        </w:rPr>
        <w:t>уб</w:t>
      </w:r>
      <w:proofErr w:type="spellEnd"/>
      <w:r w:rsidRPr="007451F9">
        <w:rPr>
          <w:b/>
          <w:snapToGrid w:val="0"/>
          <w:szCs w:val="28"/>
        </w:rPr>
        <w:t>. и пред</w:t>
      </w:r>
      <w:r w:rsidRPr="007451F9">
        <w:rPr>
          <w:b/>
          <w:snapToGrid w:val="0"/>
          <w:szCs w:val="28"/>
        </w:rPr>
        <w:t>у</w:t>
      </w:r>
      <w:r w:rsidRPr="007451F9">
        <w:rPr>
          <w:b/>
          <w:snapToGrid w:val="0"/>
          <w:szCs w:val="28"/>
        </w:rPr>
        <w:t xml:space="preserve">смотреть в </w:t>
      </w:r>
      <w:r>
        <w:rPr>
          <w:b/>
          <w:snapToGrid w:val="0"/>
          <w:szCs w:val="28"/>
        </w:rPr>
        <w:t xml:space="preserve">сумме 33 150 </w:t>
      </w:r>
      <w:proofErr w:type="spellStart"/>
      <w:r>
        <w:rPr>
          <w:b/>
          <w:snapToGrid w:val="0"/>
          <w:szCs w:val="28"/>
        </w:rPr>
        <w:t>тыс.</w:t>
      </w:r>
      <w:r w:rsidRPr="007451F9">
        <w:rPr>
          <w:b/>
          <w:snapToGrid w:val="0"/>
          <w:szCs w:val="28"/>
        </w:rPr>
        <w:t>руб</w:t>
      </w:r>
      <w:proofErr w:type="spellEnd"/>
      <w:r w:rsidRPr="007451F9">
        <w:rPr>
          <w:b/>
          <w:snapToGrid w:val="0"/>
          <w:szCs w:val="28"/>
        </w:rPr>
        <w:t>., 2014 год - 33 6</w:t>
      </w:r>
      <w:r>
        <w:rPr>
          <w:b/>
          <w:snapToGrid w:val="0"/>
          <w:szCs w:val="28"/>
        </w:rPr>
        <w:t xml:space="preserve">10 </w:t>
      </w:r>
      <w:proofErr w:type="spellStart"/>
      <w:r>
        <w:rPr>
          <w:b/>
          <w:snapToGrid w:val="0"/>
          <w:szCs w:val="28"/>
        </w:rPr>
        <w:t>тыс.</w:t>
      </w:r>
      <w:r w:rsidRPr="007451F9">
        <w:rPr>
          <w:b/>
          <w:snapToGrid w:val="0"/>
          <w:szCs w:val="28"/>
        </w:rPr>
        <w:t>руб</w:t>
      </w:r>
      <w:proofErr w:type="spellEnd"/>
      <w:r w:rsidRPr="007451F9">
        <w:rPr>
          <w:b/>
          <w:snapToGrid w:val="0"/>
          <w:szCs w:val="28"/>
        </w:rPr>
        <w:t xml:space="preserve">. </w:t>
      </w:r>
    </w:p>
    <w:p w:rsidR="00C83EEA" w:rsidRDefault="00C83EEA" w:rsidP="00C83EEA">
      <w:pPr>
        <w:ind w:firstLine="709"/>
        <w:jc w:val="both"/>
      </w:pPr>
      <w:r>
        <w:t>В</w:t>
      </w:r>
      <w:r w:rsidRPr="006C7C09">
        <w:t xml:space="preserve"> 2015 год</w:t>
      </w:r>
      <w:r>
        <w:t>у</w:t>
      </w:r>
      <w:r w:rsidRPr="006C7C09">
        <w:t xml:space="preserve"> доходы от сдачи в аренду областного имущества</w:t>
      </w:r>
      <w:r>
        <w:t xml:space="preserve">, </w:t>
      </w:r>
      <w:r w:rsidRPr="006C7C09">
        <w:t>запланирован</w:t>
      </w:r>
      <w:r>
        <w:t>ные</w:t>
      </w:r>
      <w:r w:rsidRPr="006C7C09">
        <w:t xml:space="preserve"> в объеме 30</w:t>
      </w:r>
      <w:r>
        <w:t> </w:t>
      </w:r>
      <w:r w:rsidRPr="006C7C09">
        <w:t>098</w:t>
      </w:r>
      <w:r>
        <w:t xml:space="preserve"> </w:t>
      </w:r>
      <w:proofErr w:type="spellStart"/>
      <w:r w:rsidRPr="006C7C09">
        <w:t>тыс</w:t>
      </w:r>
      <w:proofErr w:type="gramStart"/>
      <w:r w:rsidRPr="006C7C09">
        <w:t>.р</w:t>
      </w:r>
      <w:proofErr w:type="gramEnd"/>
      <w:r w:rsidRPr="006C7C09">
        <w:t>уб</w:t>
      </w:r>
      <w:proofErr w:type="spellEnd"/>
      <w:r w:rsidRPr="006C7C09">
        <w:t>.</w:t>
      </w:r>
      <w:r>
        <w:t xml:space="preserve">, могут не достичь прогнозируемых значений </w:t>
      </w:r>
      <w:r w:rsidRPr="006C7C09">
        <w:t xml:space="preserve">на </w:t>
      </w:r>
      <w:r>
        <w:t xml:space="preserve">сумму </w:t>
      </w:r>
      <w:r w:rsidRPr="006C7C09">
        <w:rPr>
          <w:snapToGrid w:val="0"/>
          <w:szCs w:val="28"/>
        </w:rPr>
        <w:t xml:space="preserve">1 978 </w:t>
      </w:r>
      <w:proofErr w:type="spellStart"/>
      <w:r w:rsidRPr="006C7C09">
        <w:rPr>
          <w:snapToGrid w:val="0"/>
          <w:szCs w:val="28"/>
        </w:rPr>
        <w:t>тыс.руб</w:t>
      </w:r>
      <w:proofErr w:type="spellEnd"/>
      <w:r w:rsidRPr="006C7C09">
        <w:rPr>
          <w:snapToGrid w:val="0"/>
          <w:szCs w:val="28"/>
        </w:rPr>
        <w:t>.</w:t>
      </w:r>
      <w:r w:rsidRPr="006C7C09">
        <w:t xml:space="preserve"> </w:t>
      </w:r>
      <w:r>
        <w:t>в связи с необходимостью передачи объектов газового хозяйства в муниципал</w:t>
      </w:r>
      <w:r>
        <w:t>ь</w:t>
      </w:r>
      <w:r>
        <w:t>ную собственность (</w:t>
      </w:r>
      <w:r w:rsidRPr="00A93A20">
        <w:rPr>
          <w:snapToGrid w:val="0"/>
          <w:szCs w:val="28"/>
        </w:rPr>
        <w:t>решени</w:t>
      </w:r>
      <w:r>
        <w:rPr>
          <w:snapToGrid w:val="0"/>
          <w:szCs w:val="28"/>
        </w:rPr>
        <w:t>ем</w:t>
      </w:r>
      <w:r w:rsidRPr="00A93A20">
        <w:rPr>
          <w:snapToGrid w:val="0"/>
          <w:szCs w:val="28"/>
        </w:rPr>
        <w:t xml:space="preserve"> комиссии по имуществу</w:t>
      </w:r>
      <w:r>
        <w:rPr>
          <w:snapToGrid w:val="0"/>
          <w:szCs w:val="28"/>
        </w:rPr>
        <w:t xml:space="preserve"> бюджетно-финансового комитета Законодательной Думы Томской области </w:t>
      </w:r>
      <w:r w:rsidRPr="00A93A20">
        <w:rPr>
          <w:snapToGrid w:val="0"/>
          <w:szCs w:val="28"/>
        </w:rPr>
        <w:t>от 25.09.2012 №2-2 рекомендова</w:t>
      </w:r>
      <w:r>
        <w:rPr>
          <w:snapToGrid w:val="0"/>
          <w:szCs w:val="28"/>
        </w:rPr>
        <w:t>но</w:t>
      </w:r>
      <w:r w:rsidRPr="00D65D01">
        <w:rPr>
          <w:snapToGrid w:val="0"/>
          <w:szCs w:val="28"/>
        </w:rPr>
        <w:t xml:space="preserve"> </w:t>
      </w:r>
      <w:r>
        <w:rPr>
          <w:snapToGrid w:val="0"/>
          <w:szCs w:val="28"/>
        </w:rPr>
        <w:t>в срок</w:t>
      </w:r>
      <w:r w:rsidRPr="00A93A20">
        <w:rPr>
          <w:snapToGrid w:val="0"/>
          <w:szCs w:val="28"/>
        </w:rPr>
        <w:t xml:space="preserve"> до ко</w:t>
      </w:r>
      <w:r w:rsidRPr="00A93A20">
        <w:rPr>
          <w:snapToGrid w:val="0"/>
          <w:szCs w:val="28"/>
        </w:rPr>
        <w:t>н</w:t>
      </w:r>
      <w:r w:rsidRPr="00A93A20">
        <w:rPr>
          <w:snapToGrid w:val="0"/>
          <w:szCs w:val="28"/>
        </w:rPr>
        <w:t>ца 2014 года</w:t>
      </w:r>
      <w:r>
        <w:rPr>
          <w:snapToGrid w:val="0"/>
          <w:szCs w:val="28"/>
        </w:rPr>
        <w:t xml:space="preserve"> </w:t>
      </w:r>
      <w:r w:rsidRPr="00A93A20">
        <w:rPr>
          <w:snapToGrid w:val="0"/>
          <w:szCs w:val="28"/>
        </w:rPr>
        <w:t>обеспечить оформление прав муниципальной собственности на объекты газового хозяйства</w:t>
      </w:r>
      <w:r>
        <w:rPr>
          <w:snapToGrid w:val="0"/>
          <w:szCs w:val="28"/>
        </w:rPr>
        <w:t>, состо</w:t>
      </w:r>
      <w:r>
        <w:rPr>
          <w:snapToGrid w:val="0"/>
          <w:szCs w:val="28"/>
        </w:rPr>
        <w:t>я</w:t>
      </w:r>
      <w:r>
        <w:rPr>
          <w:snapToGrid w:val="0"/>
          <w:szCs w:val="28"/>
        </w:rPr>
        <w:t>щие в Реестре государственного имущества Томской области).</w:t>
      </w:r>
      <w:r>
        <w:t xml:space="preserve"> </w:t>
      </w:r>
    </w:p>
    <w:p w:rsidR="00C83EEA" w:rsidRPr="00F40C7F" w:rsidRDefault="00C83EEA" w:rsidP="00C83EEA">
      <w:pPr>
        <w:jc w:val="center"/>
      </w:pPr>
      <w:r>
        <w:rPr>
          <w:noProof/>
        </w:rPr>
        <w:lastRenderedPageBreak/>
        <w:drawing>
          <wp:inline distT="0" distB="0" distL="0" distR="0">
            <wp:extent cx="4514850" cy="3295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514850" cy="3295650"/>
                    </a:xfrm>
                    <a:prstGeom prst="rect">
                      <a:avLst/>
                    </a:prstGeom>
                    <a:noFill/>
                    <a:ln>
                      <a:noFill/>
                    </a:ln>
                  </pic:spPr>
                </pic:pic>
              </a:graphicData>
            </a:graphic>
          </wp:inline>
        </w:drawing>
      </w:r>
    </w:p>
    <w:p w:rsidR="00C83EEA" w:rsidRDefault="00C83EEA" w:rsidP="00C83EEA">
      <w:pPr>
        <w:ind w:firstLine="709"/>
        <w:jc w:val="both"/>
      </w:pPr>
      <w:r>
        <w:t>Анализ данных, отраженных в диаграмме за ряд лет, свидетельствует о том, что доходы от аренды областного имущества в 2012 году уменьшились почти в 3 раза по сравнению с 2008 годом, в котором был получен максимальный объем доходов по данн</w:t>
      </w:r>
      <w:r>
        <w:t>о</w:t>
      </w:r>
      <w:r>
        <w:t xml:space="preserve">му источнику (81 028 </w:t>
      </w:r>
      <w:proofErr w:type="spellStart"/>
      <w:r>
        <w:t>тыс</w:t>
      </w:r>
      <w:proofErr w:type="gramStart"/>
      <w:r>
        <w:t>.р</w:t>
      </w:r>
      <w:proofErr w:type="gramEnd"/>
      <w:r>
        <w:t>уб</w:t>
      </w:r>
      <w:proofErr w:type="spellEnd"/>
      <w:r>
        <w:t>.). Указанное снижение обусловлено не только изменением бюджетного законодательства, исключившего из бюджета субъектов РФ доходы от и</w:t>
      </w:r>
      <w:r>
        <w:t>с</w:t>
      </w:r>
      <w:r>
        <w:t>пользования имущества, находящегося в оперативном управлении автономных (с 2007 года), а затем и бюджетных учреждений (с 2012 года), но и увеличением задолженности по арендным платежам в связи с кризисными явлениями (к примеру, долг ОАО «</w:t>
      </w:r>
      <w:proofErr w:type="spellStart"/>
      <w:r>
        <w:t>Томскгражданпроект</w:t>
      </w:r>
      <w:proofErr w:type="spellEnd"/>
      <w:r>
        <w:t xml:space="preserve">» с 2,2 </w:t>
      </w:r>
      <w:proofErr w:type="spellStart"/>
      <w:r>
        <w:t>млн</w:t>
      </w:r>
      <w:proofErr w:type="gramStart"/>
      <w:r>
        <w:t>.р</w:t>
      </w:r>
      <w:proofErr w:type="gramEnd"/>
      <w:r>
        <w:t>уб</w:t>
      </w:r>
      <w:proofErr w:type="spellEnd"/>
      <w:r>
        <w:t xml:space="preserve">. на начало </w:t>
      </w:r>
      <w:smartTag w:uri="urn:schemas-microsoft-com:office:smarttags" w:element="metricconverter">
        <w:smartTagPr>
          <w:attr w:name="ProductID" w:val="2009 г"/>
        </w:smartTagPr>
        <w:r>
          <w:t>2009 г</w:t>
        </w:r>
      </w:smartTag>
      <w:r>
        <w:t xml:space="preserve">. увеличился до 13,1 </w:t>
      </w:r>
      <w:proofErr w:type="spellStart"/>
      <w:r>
        <w:t>млн</w:t>
      </w:r>
      <w:proofErr w:type="gramStart"/>
      <w:r>
        <w:t>.р</w:t>
      </w:r>
      <w:proofErr w:type="gramEnd"/>
      <w:r>
        <w:t>уб</w:t>
      </w:r>
      <w:proofErr w:type="spellEnd"/>
      <w:r>
        <w:t>. по состо</w:t>
      </w:r>
      <w:r>
        <w:t>я</w:t>
      </w:r>
      <w:r>
        <w:t>нию на 01.01.2012; в отношении данного общества 13.08.2012 открыто конкурсное производство),</w:t>
      </w:r>
      <w:r w:rsidRPr="00F40C7F">
        <w:t xml:space="preserve"> </w:t>
      </w:r>
      <w:r>
        <w:t xml:space="preserve">а также приватизацией объектов областной собственности и передачей в безвозмездное пользование помещений площадью более 3 тыс. </w:t>
      </w:r>
      <w:proofErr w:type="spellStart"/>
      <w:r>
        <w:t>кв.м</w:t>
      </w:r>
      <w:proofErr w:type="spellEnd"/>
      <w:r>
        <w:t>, ранее сдававшихся в аре</w:t>
      </w:r>
      <w:r>
        <w:t>н</w:t>
      </w:r>
      <w:r>
        <w:t>ду.</w:t>
      </w:r>
    </w:p>
    <w:p w:rsidR="00C83EEA" w:rsidRDefault="00C83EEA" w:rsidP="00C83EEA">
      <w:pPr>
        <w:ind w:firstLine="709"/>
        <w:jc w:val="both"/>
      </w:pPr>
      <w:r>
        <w:t>При этом</w:t>
      </w:r>
      <w:proofErr w:type="gramStart"/>
      <w:r>
        <w:t>,</w:t>
      </w:r>
      <w:proofErr w:type="gramEnd"/>
      <w:r>
        <w:t xml:space="preserve"> если в 2006-2008 годах бюджетное назначение по данному виду дох</w:t>
      </w:r>
      <w:r>
        <w:t>о</w:t>
      </w:r>
      <w:r>
        <w:t>дов</w:t>
      </w:r>
      <w:r w:rsidRPr="007451F9">
        <w:t xml:space="preserve"> </w:t>
      </w:r>
      <w:r>
        <w:t>перевыполнено на 110-112%, то в 2009-2011 годах на фоне общего снижения объемов указанных доходов бюджетное назначение исполнено лишь на 60-82%. В 2012 году ожида</w:t>
      </w:r>
      <w:r>
        <w:t>е</w:t>
      </w:r>
      <w:r>
        <w:t xml:space="preserve">мое исполнение составит 97,7% от установленного плана. </w:t>
      </w:r>
    </w:p>
    <w:p w:rsidR="00C83EEA" w:rsidRDefault="00C83EEA" w:rsidP="00C83EEA">
      <w:pPr>
        <w:numPr>
          <w:ilvl w:val="0"/>
          <w:numId w:val="4"/>
        </w:numPr>
        <w:tabs>
          <w:tab w:val="left" w:pos="851"/>
        </w:tabs>
        <w:ind w:left="0" w:firstLine="709"/>
        <w:jc w:val="both"/>
      </w:pPr>
      <w:r>
        <w:t xml:space="preserve"> </w:t>
      </w:r>
      <w:r w:rsidRPr="00DC1974">
        <w:t>Прогнозируемые</w:t>
      </w:r>
      <w:r w:rsidRPr="00943897">
        <w:t xml:space="preserve"> </w:t>
      </w:r>
      <w:r>
        <w:t>д</w:t>
      </w:r>
      <w:r w:rsidRPr="00943897">
        <w:t>оходы от перечисления части прибыли, остающейся после уплаты налогов и иных обязательных платежей областных государственных унита</w:t>
      </w:r>
      <w:r w:rsidRPr="00943897">
        <w:t>р</w:t>
      </w:r>
      <w:r w:rsidRPr="00943897">
        <w:t>ных предприятий,</w:t>
      </w:r>
      <w:r w:rsidRPr="00943897">
        <w:rPr>
          <w:snapToGrid w:val="0"/>
        </w:rPr>
        <w:t xml:space="preserve"> </w:t>
      </w:r>
      <w:r w:rsidRPr="00943897">
        <w:t xml:space="preserve">на 2013 год </w:t>
      </w:r>
      <w:r>
        <w:rPr>
          <w:snapToGrid w:val="0"/>
        </w:rPr>
        <w:t>рассчитаны</w:t>
      </w:r>
      <w:r w:rsidRPr="00943897">
        <w:t xml:space="preserve"> по 4 предприятиям (</w:t>
      </w:r>
      <w:r>
        <w:t xml:space="preserve">ОГУП </w:t>
      </w:r>
      <w:r w:rsidRPr="00943897">
        <w:t xml:space="preserve">«Томский областной центр технической инвентаризации», </w:t>
      </w:r>
      <w:r>
        <w:t xml:space="preserve">ОГУП </w:t>
      </w:r>
      <w:r w:rsidRPr="00943897">
        <w:t xml:space="preserve">«Областной аптечный склад», </w:t>
      </w:r>
      <w:r>
        <w:t xml:space="preserve">ОГУП </w:t>
      </w:r>
      <w:r w:rsidRPr="00943897">
        <w:t>«</w:t>
      </w:r>
      <w:proofErr w:type="spellStart"/>
      <w:r w:rsidRPr="00943897">
        <w:t>К</w:t>
      </w:r>
      <w:r w:rsidRPr="00943897">
        <w:t>о</w:t>
      </w:r>
      <w:r w:rsidRPr="00943897">
        <w:t>жевниковское</w:t>
      </w:r>
      <w:proofErr w:type="spellEnd"/>
      <w:r w:rsidRPr="00943897">
        <w:t xml:space="preserve"> ДРСУ» и </w:t>
      </w:r>
      <w:r>
        <w:t xml:space="preserve">ОГУП </w:t>
      </w:r>
      <w:r w:rsidRPr="00943897">
        <w:t xml:space="preserve">«Первомайское </w:t>
      </w:r>
      <w:r>
        <w:t xml:space="preserve">ДРСУ») в общей сумме 1 175 </w:t>
      </w:r>
      <w:proofErr w:type="spellStart"/>
      <w:r>
        <w:t>тыс</w:t>
      </w:r>
      <w:proofErr w:type="gramStart"/>
      <w:r>
        <w:t>.</w:t>
      </w:r>
      <w:r w:rsidRPr="00943897">
        <w:t>р</w:t>
      </w:r>
      <w:proofErr w:type="gramEnd"/>
      <w:r w:rsidRPr="00943897">
        <w:t>уб</w:t>
      </w:r>
      <w:proofErr w:type="spellEnd"/>
      <w:r w:rsidRPr="00943897">
        <w:t>., на 2014-2015 год</w:t>
      </w:r>
      <w:r>
        <w:t>ы</w:t>
      </w:r>
      <w:r w:rsidRPr="00943897">
        <w:t xml:space="preserve"> </w:t>
      </w:r>
      <w:r>
        <w:t xml:space="preserve">- </w:t>
      </w:r>
      <w:r w:rsidRPr="00943897">
        <w:t>по 2 предприятиям (</w:t>
      </w:r>
      <w:r>
        <w:t xml:space="preserve">ОГУП </w:t>
      </w:r>
      <w:r w:rsidRPr="00943897">
        <w:t>«Томский областной центр технической и</w:t>
      </w:r>
      <w:r w:rsidRPr="00943897">
        <w:t>н</w:t>
      </w:r>
      <w:r w:rsidRPr="00943897">
        <w:t xml:space="preserve">вентаризации» и </w:t>
      </w:r>
      <w:r>
        <w:t xml:space="preserve">ОГУП </w:t>
      </w:r>
      <w:r w:rsidRPr="00943897">
        <w:t>«Областной аптечный склад»)</w:t>
      </w:r>
      <w:r>
        <w:t>,</w:t>
      </w:r>
      <w:r w:rsidRPr="00943897">
        <w:t xml:space="preserve"> соответственно</w:t>
      </w:r>
      <w:r>
        <w:t xml:space="preserve">, 673 </w:t>
      </w:r>
      <w:proofErr w:type="spellStart"/>
      <w:r>
        <w:t>тыс</w:t>
      </w:r>
      <w:proofErr w:type="gramStart"/>
      <w:r>
        <w:t>.р</w:t>
      </w:r>
      <w:proofErr w:type="gramEnd"/>
      <w:r>
        <w:t>уб</w:t>
      </w:r>
      <w:proofErr w:type="spellEnd"/>
      <w:r>
        <w:t xml:space="preserve">. и 724 </w:t>
      </w:r>
      <w:proofErr w:type="spellStart"/>
      <w:r>
        <w:t>тыс.</w:t>
      </w:r>
      <w:r w:rsidRPr="00943897">
        <w:t>руб</w:t>
      </w:r>
      <w:proofErr w:type="spellEnd"/>
      <w:r w:rsidRPr="00943897">
        <w:t xml:space="preserve">. </w:t>
      </w:r>
      <w:r>
        <w:t>Указанные р</w:t>
      </w:r>
      <w:r w:rsidRPr="00943897">
        <w:t>асчет</w:t>
      </w:r>
      <w:r>
        <w:t>ы</w:t>
      </w:r>
      <w:r w:rsidRPr="00943897">
        <w:t xml:space="preserve"> произведен</w:t>
      </w:r>
      <w:r>
        <w:t>ы</w:t>
      </w:r>
      <w:r w:rsidRPr="00943897">
        <w:t xml:space="preserve"> администратором доходов исходя из показателей перспективных планов развития о</w:t>
      </w:r>
      <w:r w:rsidRPr="00943897">
        <w:t>б</w:t>
      </w:r>
      <w:r w:rsidRPr="00943897">
        <w:t>ластных государственных унитарных предприятий на 2013-2015 годы с уч</w:t>
      </w:r>
      <w:r w:rsidRPr="00943897">
        <w:t>е</w:t>
      </w:r>
      <w:r w:rsidRPr="00943897">
        <w:t>том планируемой приватизации предприятий дорожной отрасли.</w:t>
      </w:r>
    </w:p>
    <w:p w:rsidR="00C83EEA" w:rsidRDefault="00C83EEA" w:rsidP="00C83EEA">
      <w:pPr>
        <w:ind w:firstLine="709"/>
        <w:jc w:val="both"/>
      </w:pPr>
      <w:r w:rsidRPr="00943897">
        <w:t xml:space="preserve">Прогноз доходов по данному источнику на 2013 и 2014 годы снижен по сравнению с объемами, </w:t>
      </w:r>
      <w:r>
        <w:t>учтенными в</w:t>
      </w:r>
      <w:r w:rsidRPr="00943897">
        <w:t xml:space="preserve"> Закон</w:t>
      </w:r>
      <w:r>
        <w:t>е</w:t>
      </w:r>
      <w:r w:rsidRPr="00943897">
        <w:t xml:space="preserve"> Томской области «Об областном бюджете на 2012 год и на плановый период 2013 и 2014 годов», соответс</w:t>
      </w:r>
      <w:r w:rsidRPr="00943897">
        <w:t>т</w:t>
      </w:r>
      <w:r w:rsidRPr="00943897">
        <w:t xml:space="preserve">венно на 6 972 </w:t>
      </w:r>
      <w:proofErr w:type="spellStart"/>
      <w:r w:rsidRPr="00943897">
        <w:t>тыс</w:t>
      </w:r>
      <w:proofErr w:type="gramStart"/>
      <w:r w:rsidRPr="00943897">
        <w:t>.р</w:t>
      </w:r>
      <w:proofErr w:type="gramEnd"/>
      <w:r w:rsidRPr="00943897">
        <w:t>уб</w:t>
      </w:r>
      <w:proofErr w:type="spellEnd"/>
      <w:r w:rsidRPr="00943897">
        <w:t xml:space="preserve">. и на 7 827 </w:t>
      </w:r>
      <w:proofErr w:type="spellStart"/>
      <w:r w:rsidRPr="00943897">
        <w:t>тыс.руб</w:t>
      </w:r>
      <w:proofErr w:type="spellEnd"/>
      <w:r w:rsidRPr="00943897">
        <w:t>.</w:t>
      </w:r>
      <w:r>
        <w:t xml:space="preserve"> в основном в связи с переносом сроков приватизации предприятий дорожной отра</w:t>
      </w:r>
      <w:r>
        <w:t>с</w:t>
      </w:r>
      <w:r>
        <w:t>ли.</w:t>
      </w:r>
      <w:r w:rsidRPr="00943897">
        <w:t xml:space="preserve"> </w:t>
      </w:r>
    </w:p>
    <w:p w:rsidR="00C83EEA" w:rsidRPr="00432814" w:rsidRDefault="00C83EEA" w:rsidP="00C83EEA">
      <w:pPr>
        <w:ind w:firstLine="709"/>
        <w:jc w:val="both"/>
      </w:pPr>
      <w:r>
        <w:lastRenderedPageBreak/>
        <w:t>В материалах к законопроекту о</w:t>
      </w:r>
      <w:r w:rsidRPr="00432814">
        <w:t>жидаемое исполнение за 2012 год по данному источнику дох</w:t>
      </w:r>
      <w:r w:rsidRPr="00432814">
        <w:t>о</w:t>
      </w:r>
      <w:r w:rsidRPr="00432814">
        <w:t xml:space="preserve">дов </w:t>
      </w:r>
      <w:r>
        <w:rPr>
          <w:snapToGrid w:val="0"/>
        </w:rPr>
        <w:t xml:space="preserve">- на уровне установленного плана (7 254 </w:t>
      </w:r>
      <w:proofErr w:type="spellStart"/>
      <w:r>
        <w:rPr>
          <w:snapToGrid w:val="0"/>
        </w:rPr>
        <w:t>тыс</w:t>
      </w:r>
      <w:proofErr w:type="gramStart"/>
      <w:r>
        <w:rPr>
          <w:snapToGrid w:val="0"/>
        </w:rPr>
        <w:t>.</w:t>
      </w:r>
      <w:r w:rsidRPr="00432814">
        <w:rPr>
          <w:snapToGrid w:val="0"/>
        </w:rPr>
        <w:t>р</w:t>
      </w:r>
      <w:proofErr w:type="gramEnd"/>
      <w:r w:rsidRPr="00432814">
        <w:rPr>
          <w:snapToGrid w:val="0"/>
        </w:rPr>
        <w:t>уб</w:t>
      </w:r>
      <w:proofErr w:type="spellEnd"/>
      <w:r w:rsidRPr="00432814">
        <w:rPr>
          <w:snapToGrid w:val="0"/>
        </w:rPr>
        <w:t>.</w:t>
      </w:r>
      <w:r>
        <w:rPr>
          <w:snapToGrid w:val="0"/>
        </w:rPr>
        <w:t>)</w:t>
      </w:r>
      <w:r w:rsidRPr="00432814">
        <w:t>.</w:t>
      </w:r>
      <w:r w:rsidRPr="00432814">
        <w:rPr>
          <w:snapToGrid w:val="0"/>
        </w:rPr>
        <w:t xml:space="preserve"> По уточненной оценке</w:t>
      </w:r>
      <w:r>
        <w:rPr>
          <w:snapToGrid w:val="0"/>
        </w:rPr>
        <w:t xml:space="preserve"> Контрольно-счетной палаты</w:t>
      </w:r>
      <w:r w:rsidRPr="00432814">
        <w:rPr>
          <w:snapToGrid w:val="0"/>
        </w:rPr>
        <w:t xml:space="preserve"> ожидаемое </w:t>
      </w:r>
      <w:r>
        <w:rPr>
          <w:snapToGrid w:val="0"/>
        </w:rPr>
        <w:t>исполнение</w:t>
      </w:r>
      <w:r w:rsidRPr="00432814">
        <w:rPr>
          <w:snapToGrid w:val="0"/>
        </w:rPr>
        <w:t xml:space="preserve"> может составить</w:t>
      </w:r>
      <w:r w:rsidRPr="00432814">
        <w:t xml:space="preserve"> 4 220 </w:t>
      </w:r>
      <w:proofErr w:type="spellStart"/>
      <w:r w:rsidRPr="00432814">
        <w:t>тыс</w:t>
      </w:r>
      <w:proofErr w:type="gramStart"/>
      <w:r w:rsidRPr="00432814">
        <w:t>.р</w:t>
      </w:r>
      <w:proofErr w:type="gramEnd"/>
      <w:r w:rsidRPr="00432814">
        <w:t>уб</w:t>
      </w:r>
      <w:proofErr w:type="spellEnd"/>
      <w:r w:rsidRPr="00432814">
        <w:t>.</w:t>
      </w:r>
      <w:r w:rsidRPr="002D2121">
        <w:t xml:space="preserve"> </w:t>
      </w:r>
      <w:r w:rsidRPr="00432814">
        <w:t>в св</w:t>
      </w:r>
      <w:r w:rsidRPr="00432814">
        <w:t>я</w:t>
      </w:r>
      <w:r>
        <w:t>зи</w:t>
      </w:r>
      <w:r w:rsidRPr="00432814">
        <w:t xml:space="preserve">: </w:t>
      </w:r>
    </w:p>
    <w:p w:rsidR="00C83EEA" w:rsidRPr="00432814" w:rsidRDefault="00C83EEA" w:rsidP="00C83EEA">
      <w:pPr>
        <w:ind w:firstLine="709"/>
        <w:jc w:val="both"/>
      </w:pPr>
      <w:proofErr w:type="gramStart"/>
      <w:r w:rsidRPr="00432814">
        <w:t xml:space="preserve">- </w:t>
      </w:r>
      <w:r>
        <w:t xml:space="preserve">с </w:t>
      </w:r>
      <w:r w:rsidRPr="00432814">
        <w:t>намечен</w:t>
      </w:r>
      <w:r>
        <w:t>ной</w:t>
      </w:r>
      <w:r w:rsidRPr="00432814">
        <w:t xml:space="preserve"> корректировк</w:t>
      </w:r>
      <w:r>
        <w:t>ой</w:t>
      </w:r>
      <w:r w:rsidRPr="00432814">
        <w:t xml:space="preserve"> показателей программы финансово-хозяйственной деятельности ГУП ТО «Областное ДРСУ» на 2012 год, в том числе уменьшение</w:t>
      </w:r>
      <w:r>
        <w:t>м</w:t>
      </w:r>
      <w:r w:rsidRPr="00432814">
        <w:t xml:space="preserve"> объема пл</w:t>
      </w:r>
      <w:r w:rsidRPr="00432814">
        <w:t>а</w:t>
      </w:r>
      <w:r w:rsidRPr="00432814">
        <w:t>нируемой чистой прибыли в результате увеличения затрат на оплату труда работников, на приобрет</w:t>
      </w:r>
      <w:r w:rsidRPr="00432814">
        <w:t>е</w:t>
      </w:r>
      <w:r w:rsidRPr="00432814">
        <w:t>ние техники</w:t>
      </w:r>
      <w:r w:rsidRPr="004E6652">
        <w:t xml:space="preserve"> </w:t>
      </w:r>
      <w:r>
        <w:t>и приватизацию предприятия</w:t>
      </w:r>
      <w:r w:rsidRPr="00432814">
        <w:t>;</w:t>
      </w:r>
      <w:proofErr w:type="gramEnd"/>
    </w:p>
    <w:p w:rsidR="00C83EEA" w:rsidRPr="009308D5" w:rsidRDefault="00C83EEA" w:rsidP="00C83EEA">
      <w:pPr>
        <w:ind w:firstLine="709"/>
        <w:jc w:val="both"/>
      </w:pPr>
      <w:r w:rsidRPr="00432814">
        <w:t>-</w:t>
      </w:r>
      <w:r>
        <w:t xml:space="preserve"> с </w:t>
      </w:r>
      <w:r w:rsidRPr="00432814">
        <w:t>невыполнением утве</w:t>
      </w:r>
      <w:r w:rsidRPr="00432814">
        <w:t>р</w:t>
      </w:r>
      <w:r w:rsidRPr="00432814">
        <w:t>жденн</w:t>
      </w:r>
      <w:r>
        <w:t>ых</w:t>
      </w:r>
      <w:r w:rsidRPr="00432814">
        <w:t xml:space="preserve"> показателей программы финансово-хозяйственной деятельности ОГУП «Областной аптечный склад»</w:t>
      </w:r>
      <w:r>
        <w:t>,</w:t>
      </w:r>
      <w:r w:rsidRPr="00432814">
        <w:t xml:space="preserve"> получением убытков по р</w:t>
      </w:r>
      <w:r w:rsidRPr="00432814">
        <w:t>е</w:t>
      </w:r>
      <w:r w:rsidRPr="00432814">
        <w:t xml:space="preserve">зультатам </w:t>
      </w:r>
      <w:r>
        <w:t xml:space="preserve">его </w:t>
      </w:r>
      <w:r w:rsidRPr="00432814">
        <w:t>деятельности</w:t>
      </w:r>
      <w:r w:rsidRPr="00432814">
        <w:rPr>
          <w:snapToGrid w:val="0"/>
        </w:rPr>
        <w:t>.</w:t>
      </w:r>
    </w:p>
    <w:p w:rsidR="00C83EEA" w:rsidRDefault="00C83EEA" w:rsidP="00C83EEA">
      <w:pPr>
        <w:numPr>
          <w:ilvl w:val="0"/>
          <w:numId w:val="4"/>
        </w:numPr>
        <w:tabs>
          <w:tab w:val="left" w:pos="851"/>
        </w:tabs>
        <w:ind w:left="0" w:firstLine="709"/>
        <w:jc w:val="both"/>
      </w:pPr>
      <w:r>
        <w:t xml:space="preserve"> </w:t>
      </w:r>
      <w:r w:rsidRPr="00C03F60">
        <w:t xml:space="preserve">Доходы </w:t>
      </w:r>
      <w:r w:rsidRPr="00C03F60">
        <w:rPr>
          <w:snapToGrid w:val="0"/>
          <w:szCs w:val="28"/>
        </w:rPr>
        <w:t>в виде прибыли, приходящейся на доли в уставных капиталах хозяйс</w:t>
      </w:r>
      <w:r w:rsidRPr="00C03F60">
        <w:rPr>
          <w:snapToGrid w:val="0"/>
          <w:szCs w:val="28"/>
        </w:rPr>
        <w:t>т</w:t>
      </w:r>
      <w:r w:rsidRPr="00C03F60">
        <w:rPr>
          <w:snapToGrid w:val="0"/>
          <w:szCs w:val="28"/>
        </w:rPr>
        <w:t>венных товариществ и обществ, или дивидендов по акциям, принадлежащим Томской о</w:t>
      </w:r>
      <w:r w:rsidRPr="00C03F60">
        <w:rPr>
          <w:snapToGrid w:val="0"/>
          <w:szCs w:val="28"/>
        </w:rPr>
        <w:t>б</w:t>
      </w:r>
      <w:r w:rsidRPr="00C03F60">
        <w:rPr>
          <w:snapToGrid w:val="0"/>
          <w:szCs w:val="28"/>
        </w:rPr>
        <w:t xml:space="preserve">ласти, </w:t>
      </w:r>
      <w:r>
        <w:rPr>
          <w:snapToGrid w:val="0"/>
        </w:rPr>
        <w:t>прогнозируются</w:t>
      </w:r>
      <w:r>
        <w:t xml:space="preserve"> на 2013 год в сумме 4 997 </w:t>
      </w:r>
      <w:proofErr w:type="spellStart"/>
      <w:r>
        <w:t>тыс</w:t>
      </w:r>
      <w:proofErr w:type="gramStart"/>
      <w:r>
        <w:t>.</w:t>
      </w:r>
      <w:r w:rsidRPr="00C03F60">
        <w:t>р</w:t>
      </w:r>
      <w:proofErr w:type="gramEnd"/>
      <w:r w:rsidRPr="00C03F60">
        <w:t>уб</w:t>
      </w:r>
      <w:proofErr w:type="spellEnd"/>
      <w:r w:rsidRPr="00C03F60">
        <w:t>.</w:t>
      </w:r>
      <w:r>
        <w:t xml:space="preserve"> или</w:t>
      </w:r>
      <w:r w:rsidRPr="00C03F60">
        <w:t xml:space="preserve"> с ростом на 11</w:t>
      </w:r>
      <w:r>
        <w:t>,4</w:t>
      </w:r>
      <w:r w:rsidRPr="00C03F60">
        <w:t xml:space="preserve">% </w:t>
      </w:r>
      <w:r>
        <w:t>к</w:t>
      </w:r>
      <w:r w:rsidRPr="00C03F60">
        <w:t xml:space="preserve"> ожидаем</w:t>
      </w:r>
      <w:r>
        <w:t>ому</w:t>
      </w:r>
      <w:r w:rsidRPr="00C03F60">
        <w:t xml:space="preserve"> исполнени</w:t>
      </w:r>
      <w:r>
        <w:t>ю</w:t>
      </w:r>
      <w:r w:rsidRPr="00C03F60">
        <w:t xml:space="preserve"> за 2012 год</w:t>
      </w:r>
      <w:r>
        <w:t xml:space="preserve">, которое составляет 4 486 </w:t>
      </w:r>
      <w:proofErr w:type="spellStart"/>
      <w:r>
        <w:t>тыс.</w:t>
      </w:r>
      <w:r w:rsidRPr="00C03F60">
        <w:t>руб</w:t>
      </w:r>
      <w:proofErr w:type="spellEnd"/>
      <w:r w:rsidRPr="00C03F60">
        <w:t xml:space="preserve">. (104,1% </w:t>
      </w:r>
      <w:r>
        <w:t>к</w:t>
      </w:r>
      <w:r w:rsidRPr="00C03F60">
        <w:t xml:space="preserve"> пл</w:t>
      </w:r>
      <w:r w:rsidRPr="00C03F60">
        <w:t>а</w:t>
      </w:r>
      <w:r w:rsidRPr="00C03F60">
        <w:t>н</w:t>
      </w:r>
      <w:r>
        <w:t>у</w:t>
      </w:r>
      <w:r w:rsidRPr="00C03F60">
        <w:t xml:space="preserve"> на текущий год). Прогноз д</w:t>
      </w:r>
      <w:r>
        <w:t xml:space="preserve">оходов на 2014 год - 8 699 </w:t>
      </w:r>
      <w:proofErr w:type="spellStart"/>
      <w:r>
        <w:t>тыс</w:t>
      </w:r>
      <w:proofErr w:type="gramStart"/>
      <w:r>
        <w:t>.</w:t>
      </w:r>
      <w:r w:rsidRPr="00C03F60">
        <w:t>р</w:t>
      </w:r>
      <w:proofErr w:type="gramEnd"/>
      <w:r w:rsidRPr="00C03F60">
        <w:t>уб</w:t>
      </w:r>
      <w:proofErr w:type="spellEnd"/>
      <w:r w:rsidRPr="00C03F60">
        <w:t>. (с ростом на 3 702 тыс. руб. к п</w:t>
      </w:r>
      <w:r>
        <w:t xml:space="preserve">редыдущему году), на 2015 год - 10 106 </w:t>
      </w:r>
      <w:proofErr w:type="spellStart"/>
      <w:r>
        <w:t>тыс.р</w:t>
      </w:r>
      <w:r w:rsidRPr="00C03F60">
        <w:t>уб</w:t>
      </w:r>
      <w:proofErr w:type="spellEnd"/>
      <w:r w:rsidRPr="00C03F60">
        <w:t xml:space="preserve">. (с </w:t>
      </w:r>
      <w:r>
        <w:t xml:space="preserve">увеличением на 1 407 </w:t>
      </w:r>
      <w:proofErr w:type="spellStart"/>
      <w:r>
        <w:t>тыс.</w:t>
      </w:r>
      <w:r w:rsidRPr="00C03F60">
        <w:t>руб</w:t>
      </w:r>
      <w:proofErr w:type="spellEnd"/>
      <w:r w:rsidRPr="00C03F60">
        <w:t xml:space="preserve">.). </w:t>
      </w:r>
    </w:p>
    <w:p w:rsidR="00C83EEA" w:rsidRDefault="00C83EEA" w:rsidP="00C83EEA">
      <w:pPr>
        <w:ind w:firstLine="709"/>
        <w:jc w:val="both"/>
      </w:pPr>
      <w:r w:rsidRPr="007451F9">
        <w:t xml:space="preserve">Прогноз доходов по данному источнику на 2013 и 2014 годы </w:t>
      </w:r>
      <w:r>
        <w:t>увеличен</w:t>
      </w:r>
      <w:r w:rsidRPr="007451F9">
        <w:t xml:space="preserve"> по сравнению с объемами, </w:t>
      </w:r>
      <w:r>
        <w:t>учтенными в</w:t>
      </w:r>
      <w:r w:rsidRPr="007451F9">
        <w:t xml:space="preserve"> Закон</w:t>
      </w:r>
      <w:r>
        <w:t>е</w:t>
      </w:r>
      <w:r w:rsidRPr="007451F9">
        <w:t xml:space="preserve"> То</w:t>
      </w:r>
      <w:r w:rsidRPr="007451F9">
        <w:t>м</w:t>
      </w:r>
      <w:r w:rsidRPr="007451F9">
        <w:t>ской области «Об областном бюджете на 2012 год и на плановый период 2013 и 2014 годов», соответс</w:t>
      </w:r>
      <w:r w:rsidRPr="007451F9">
        <w:t>т</w:t>
      </w:r>
      <w:r w:rsidRPr="007451F9">
        <w:t xml:space="preserve">венно на </w:t>
      </w:r>
      <w:r>
        <w:t xml:space="preserve">210 </w:t>
      </w:r>
      <w:proofErr w:type="spellStart"/>
      <w:r>
        <w:t>тыс</w:t>
      </w:r>
      <w:proofErr w:type="gramStart"/>
      <w:r>
        <w:t>.р</w:t>
      </w:r>
      <w:proofErr w:type="gramEnd"/>
      <w:r>
        <w:t>уб</w:t>
      </w:r>
      <w:proofErr w:type="spellEnd"/>
      <w:r>
        <w:t>. (</w:t>
      </w:r>
      <w:r w:rsidRPr="007451F9">
        <w:t>4,</w:t>
      </w:r>
      <w:r>
        <w:t>4</w:t>
      </w:r>
      <w:r w:rsidRPr="007451F9">
        <w:t>%</w:t>
      </w:r>
      <w:r>
        <w:t>)</w:t>
      </w:r>
      <w:r w:rsidRPr="007451F9">
        <w:t xml:space="preserve"> и </w:t>
      </w:r>
      <w:r>
        <w:t xml:space="preserve">на 3 542 </w:t>
      </w:r>
      <w:proofErr w:type="spellStart"/>
      <w:r>
        <w:t>тыс.руб</w:t>
      </w:r>
      <w:proofErr w:type="spellEnd"/>
      <w:r>
        <w:t>. (69,7</w:t>
      </w:r>
      <w:r w:rsidRPr="007451F9">
        <w:t>%</w:t>
      </w:r>
      <w:r>
        <w:t>)</w:t>
      </w:r>
      <w:r w:rsidRPr="007451F9">
        <w:t xml:space="preserve">. </w:t>
      </w:r>
      <w:proofErr w:type="gramStart"/>
      <w:r w:rsidRPr="006A5C75">
        <w:t xml:space="preserve">Расчет произведен администратором </w:t>
      </w:r>
      <w:r>
        <w:t xml:space="preserve">данного источника </w:t>
      </w:r>
      <w:r w:rsidRPr="006A5C75">
        <w:t xml:space="preserve">доходов на основании </w:t>
      </w:r>
      <w:r>
        <w:t>планируемых</w:t>
      </w:r>
      <w:r w:rsidRPr="006A5C75">
        <w:t xml:space="preserve"> показателей развития хозяйственных обществ с долей То</w:t>
      </w:r>
      <w:r w:rsidRPr="006A5C75">
        <w:t>м</w:t>
      </w:r>
      <w:r w:rsidRPr="006A5C75">
        <w:t>ской области в уставных капиталах</w:t>
      </w:r>
      <w:r w:rsidRPr="00D65D01">
        <w:t xml:space="preserve"> </w:t>
      </w:r>
      <w:r w:rsidRPr="006A5C75">
        <w:t xml:space="preserve">на трехлетний период </w:t>
      </w:r>
      <w:r>
        <w:t>(2013-2015 годы)</w:t>
      </w:r>
      <w:r w:rsidRPr="006A5C75">
        <w:t>, а также с уч</w:t>
      </w:r>
      <w:r w:rsidRPr="006A5C75">
        <w:t>е</w:t>
      </w:r>
      <w:r w:rsidRPr="006A5C75">
        <w:t>том прогнозируемого объема дивидендов открытых акционерных обществ, создание кот</w:t>
      </w:r>
      <w:r w:rsidRPr="006A5C75">
        <w:t>о</w:t>
      </w:r>
      <w:r w:rsidRPr="006A5C75">
        <w:t xml:space="preserve">рых в результате приватизации трех ОГУП дорожного комплекса предусматривается в 2012 </w:t>
      </w:r>
      <w:r>
        <w:t>и</w:t>
      </w:r>
      <w:r w:rsidRPr="006A5C75">
        <w:t xml:space="preserve"> в 2013 год</w:t>
      </w:r>
      <w:r>
        <w:t>ах</w:t>
      </w:r>
      <w:r w:rsidRPr="006A5C75">
        <w:t>.</w:t>
      </w:r>
      <w:proofErr w:type="gramEnd"/>
    </w:p>
    <w:p w:rsidR="00C83EEA" w:rsidRDefault="00C83EEA" w:rsidP="00C83EEA">
      <w:pPr>
        <w:ind w:firstLine="709"/>
        <w:jc w:val="both"/>
        <w:rPr>
          <w:snapToGrid w:val="0"/>
          <w:szCs w:val="28"/>
        </w:rPr>
      </w:pPr>
      <w:proofErr w:type="gramStart"/>
      <w:r w:rsidRPr="006A5C75">
        <w:t>В связи с корректировкой</w:t>
      </w:r>
      <w:r w:rsidRPr="008E591C">
        <w:t xml:space="preserve"> </w:t>
      </w:r>
      <w:r w:rsidRPr="006A5C75">
        <w:t xml:space="preserve">показателей </w:t>
      </w:r>
      <w:r>
        <w:t>п</w:t>
      </w:r>
      <w:r w:rsidRPr="006A5C75">
        <w:t xml:space="preserve">ерспективных планов </w:t>
      </w:r>
      <w:r>
        <w:t>развития</w:t>
      </w:r>
      <w:r w:rsidRPr="006A5C75">
        <w:t xml:space="preserve"> </w:t>
      </w:r>
      <w:r>
        <w:t xml:space="preserve">ОГУП </w:t>
      </w:r>
      <w:r w:rsidRPr="006A5C75">
        <w:t>«Первомайское ДРСУ», ОГУП «</w:t>
      </w:r>
      <w:proofErr w:type="spellStart"/>
      <w:r w:rsidRPr="006A5C75">
        <w:t>Кожевниковское</w:t>
      </w:r>
      <w:proofErr w:type="spellEnd"/>
      <w:r w:rsidRPr="006A5C75">
        <w:t xml:space="preserve"> ДРСУ»</w:t>
      </w:r>
      <w:r>
        <w:t>, ОАО «</w:t>
      </w:r>
      <w:proofErr w:type="spellStart"/>
      <w:r>
        <w:t>ТомскАгроИнвест</w:t>
      </w:r>
      <w:proofErr w:type="spellEnd"/>
      <w:r>
        <w:t>», пр</w:t>
      </w:r>
      <w:r>
        <w:t>о</w:t>
      </w:r>
      <w:r>
        <w:t>изведенной в 3 квартале 2012 года, а также планируемой корректировкой перспективного плана</w:t>
      </w:r>
      <w:r w:rsidRPr="006A5C75">
        <w:t xml:space="preserve"> </w:t>
      </w:r>
      <w:r>
        <w:t xml:space="preserve">развития </w:t>
      </w:r>
      <w:r w:rsidRPr="006A5C75">
        <w:t>ГУП ТО «Областное ДРСУ»</w:t>
      </w:r>
      <w:r>
        <w:t xml:space="preserve"> </w:t>
      </w:r>
      <w:r w:rsidRPr="006A5C75">
        <w:t>на 2013-2015 годы</w:t>
      </w:r>
      <w:r>
        <w:t xml:space="preserve">, в том числе по размеру чистой прибыли, </w:t>
      </w:r>
      <w:r w:rsidRPr="008D58C5">
        <w:t xml:space="preserve">доходы по данному источнику </w:t>
      </w:r>
      <w:r>
        <w:t>в условиях сохранения прежней див</w:t>
      </w:r>
      <w:r>
        <w:t>и</w:t>
      </w:r>
      <w:r>
        <w:t xml:space="preserve">дендной политики </w:t>
      </w:r>
      <w:r w:rsidRPr="008D58C5">
        <w:t xml:space="preserve">могут быть ниже прогнозных значений </w:t>
      </w:r>
      <w:r>
        <w:t>(</w:t>
      </w:r>
      <w:r w:rsidRPr="008D58C5">
        <w:t>в</w:t>
      </w:r>
      <w:r>
        <w:rPr>
          <w:snapToGrid w:val="0"/>
          <w:szCs w:val="28"/>
        </w:rPr>
        <w:t xml:space="preserve"> 2014</w:t>
      </w:r>
      <w:proofErr w:type="gramEnd"/>
      <w:r>
        <w:rPr>
          <w:snapToGrid w:val="0"/>
          <w:szCs w:val="28"/>
        </w:rPr>
        <w:t xml:space="preserve"> году - на 1710 </w:t>
      </w:r>
      <w:proofErr w:type="spellStart"/>
      <w:r>
        <w:rPr>
          <w:snapToGrid w:val="0"/>
          <w:szCs w:val="28"/>
        </w:rPr>
        <w:t>тыс</w:t>
      </w:r>
      <w:proofErr w:type="gramStart"/>
      <w:r>
        <w:rPr>
          <w:snapToGrid w:val="0"/>
          <w:szCs w:val="28"/>
        </w:rPr>
        <w:t>.</w:t>
      </w:r>
      <w:r w:rsidRPr="008D58C5">
        <w:rPr>
          <w:snapToGrid w:val="0"/>
          <w:szCs w:val="28"/>
        </w:rPr>
        <w:t>р</w:t>
      </w:r>
      <w:proofErr w:type="gramEnd"/>
      <w:r w:rsidRPr="008D58C5">
        <w:rPr>
          <w:snapToGrid w:val="0"/>
          <w:szCs w:val="28"/>
        </w:rPr>
        <w:t>уб</w:t>
      </w:r>
      <w:proofErr w:type="spellEnd"/>
      <w:r w:rsidRPr="008D58C5">
        <w:rPr>
          <w:snapToGrid w:val="0"/>
          <w:szCs w:val="28"/>
        </w:rPr>
        <w:t>., в 2015 г</w:t>
      </w:r>
      <w:r w:rsidRPr="008D58C5">
        <w:rPr>
          <w:snapToGrid w:val="0"/>
          <w:szCs w:val="28"/>
        </w:rPr>
        <w:t>о</w:t>
      </w:r>
      <w:r>
        <w:rPr>
          <w:snapToGrid w:val="0"/>
          <w:szCs w:val="28"/>
        </w:rPr>
        <w:t xml:space="preserve">ду - на 1 034 </w:t>
      </w:r>
      <w:proofErr w:type="spellStart"/>
      <w:r>
        <w:rPr>
          <w:snapToGrid w:val="0"/>
          <w:szCs w:val="28"/>
        </w:rPr>
        <w:t>тыс.</w:t>
      </w:r>
      <w:r w:rsidRPr="008D58C5">
        <w:rPr>
          <w:snapToGrid w:val="0"/>
          <w:szCs w:val="28"/>
        </w:rPr>
        <w:t>руб</w:t>
      </w:r>
      <w:proofErr w:type="spellEnd"/>
      <w:r w:rsidRPr="008D58C5">
        <w:rPr>
          <w:snapToGrid w:val="0"/>
          <w:szCs w:val="28"/>
        </w:rPr>
        <w:t>.</w:t>
      </w:r>
      <w:r>
        <w:rPr>
          <w:snapToGrid w:val="0"/>
          <w:szCs w:val="28"/>
        </w:rPr>
        <w:t>).</w:t>
      </w:r>
      <w:r w:rsidRPr="008D58C5">
        <w:rPr>
          <w:snapToGrid w:val="0"/>
          <w:szCs w:val="28"/>
        </w:rPr>
        <w:t xml:space="preserve"> </w:t>
      </w:r>
    </w:p>
    <w:p w:rsidR="00C83EEA" w:rsidRPr="008D58C5" w:rsidRDefault="00C83EEA" w:rsidP="00C83EEA">
      <w:pPr>
        <w:tabs>
          <w:tab w:val="left" w:pos="0"/>
        </w:tabs>
        <w:ind w:firstLine="720"/>
        <w:jc w:val="both"/>
      </w:pPr>
      <w:r>
        <w:t xml:space="preserve">Из 26 хозяйственных обществ, </w:t>
      </w:r>
      <w:r>
        <w:rPr>
          <w:snapToGrid w:val="0"/>
          <w:szCs w:val="28"/>
        </w:rPr>
        <w:t>пакеты</w:t>
      </w:r>
      <w:r w:rsidRPr="00C03F60">
        <w:rPr>
          <w:snapToGrid w:val="0"/>
          <w:szCs w:val="28"/>
        </w:rPr>
        <w:t xml:space="preserve"> акци</w:t>
      </w:r>
      <w:r>
        <w:rPr>
          <w:snapToGrid w:val="0"/>
          <w:szCs w:val="28"/>
        </w:rPr>
        <w:t xml:space="preserve">й </w:t>
      </w:r>
      <w:r w:rsidRPr="00C03F60">
        <w:rPr>
          <w:snapToGrid w:val="0"/>
          <w:szCs w:val="28"/>
        </w:rPr>
        <w:t>или</w:t>
      </w:r>
      <w:r>
        <w:rPr>
          <w:snapToGrid w:val="0"/>
          <w:szCs w:val="28"/>
        </w:rPr>
        <w:t xml:space="preserve"> </w:t>
      </w:r>
      <w:proofErr w:type="gramStart"/>
      <w:r w:rsidRPr="00C03F60">
        <w:rPr>
          <w:snapToGrid w:val="0"/>
          <w:szCs w:val="28"/>
        </w:rPr>
        <w:t>доли</w:t>
      </w:r>
      <w:proofErr w:type="gramEnd"/>
      <w:r w:rsidRPr="00C03F60">
        <w:rPr>
          <w:snapToGrid w:val="0"/>
          <w:szCs w:val="28"/>
        </w:rPr>
        <w:t xml:space="preserve"> в уставных капиталах </w:t>
      </w:r>
      <w:r>
        <w:rPr>
          <w:snapToGrid w:val="0"/>
          <w:szCs w:val="28"/>
        </w:rPr>
        <w:t>кот</w:t>
      </w:r>
      <w:r>
        <w:rPr>
          <w:snapToGrid w:val="0"/>
          <w:szCs w:val="28"/>
        </w:rPr>
        <w:t>о</w:t>
      </w:r>
      <w:r>
        <w:rPr>
          <w:snapToGrid w:val="0"/>
          <w:szCs w:val="28"/>
        </w:rPr>
        <w:t>рых</w:t>
      </w:r>
      <w:r w:rsidRPr="00C03F60">
        <w:rPr>
          <w:snapToGrid w:val="0"/>
          <w:szCs w:val="28"/>
        </w:rPr>
        <w:t xml:space="preserve"> принадлежа</w:t>
      </w:r>
      <w:r>
        <w:rPr>
          <w:snapToGrid w:val="0"/>
          <w:szCs w:val="28"/>
        </w:rPr>
        <w:t>т</w:t>
      </w:r>
      <w:r w:rsidRPr="00C03F60">
        <w:rPr>
          <w:snapToGrid w:val="0"/>
          <w:szCs w:val="28"/>
        </w:rPr>
        <w:t xml:space="preserve"> Томской области</w:t>
      </w:r>
      <w:r>
        <w:rPr>
          <w:snapToGrid w:val="0"/>
          <w:szCs w:val="28"/>
        </w:rPr>
        <w:t xml:space="preserve"> по состоянию на 01.10.2012 г.</w:t>
      </w:r>
      <w:r w:rsidRPr="00C03F60">
        <w:rPr>
          <w:snapToGrid w:val="0"/>
          <w:szCs w:val="28"/>
        </w:rPr>
        <w:t>,</w:t>
      </w:r>
      <w:r>
        <w:rPr>
          <w:snapToGrid w:val="0"/>
          <w:szCs w:val="28"/>
        </w:rPr>
        <w:t xml:space="preserve"> ежегодную выплату дивидендов осущест</w:t>
      </w:r>
      <w:r>
        <w:rPr>
          <w:snapToGrid w:val="0"/>
          <w:szCs w:val="28"/>
        </w:rPr>
        <w:t>в</w:t>
      </w:r>
      <w:r>
        <w:rPr>
          <w:snapToGrid w:val="0"/>
          <w:szCs w:val="28"/>
        </w:rPr>
        <w:t>ляют лишь 9 обществ (в 2012 году по итогам работы за 2011 год - 10 обществ). Размер дивидендов половины из указанных обществ составляет 10-12,5% чи</w:t>
      </w:r>
      <w:r>
        <w:rPr>
          <w:snapToGrid w:val="0"/>
          <w:szCs w:val="28"/>
        </w:rPr>
        <w:t>с</w:t>
      </w:r>
      <w:r>
        <w:rPr>
          <w:snapToGrid w:val="0"/>
          <w:szCs w:val="28"/>
        </w:rPr>
        <w:t>той прибыли (в основном, это общества со 100%-ной долей Томской области в уставном капитале). Выплата дивидендов хозяйственными обществами с долей Томской области 10-20% составила 16-36% чистой прибыли (в 2012 году - 45%). Три общества, в которых Томская область является миноритарным акционером, выплачивают дивиденды в незначительной сумме, в 2012 г</w:t>
      </w:r>
      <w:r>
        <w:rPr>
          <w:snapToGrid w:val="0"/>
          <w:szCs w:val="28"/>
        </w:rPr>
        <w:t>о</w:t>
      </w:r>
      <w:r>
        <w:rPr>
          <w:snapToGrid w:val="0"/>
          <w:szCs w:val="28"/>
        </w:rPr>
        <w:t>ду</w:t>
      </w:r>
      <w:r w:rsidRPr="001D0BAD">
        <w:rPr>
          <w:snapToGrid w:val="0"/>
          <w:szCs w:val="28"/>
        </w:rPr>
        <w:t xml:space="preserve"> </w:t>
      </w:r>
      <w:r>
        <w:rPr>
          <w:snapToGrid w:val="0"/>
          <w:szCs w:val="28"/>
        </w:rPr>
        <w:t xml:space="preserve">их общий объем составил 10,8 </w:t>
      </w:r>
      <w:proofErr w:type="spellStart"/>
      <w:r>
        <w:rPr>
          <w:snapToGrid w:val="0"/>
          <w:szCs w:val="28"/>
        </w:rPr>
        <w:t>тыс</w:t>
      </w:r>
      <w:proofErr w:type="gramStart"/>
      <w:r>
        <w:rPr>
          <w:snapToGrid w:val="0"/>
          <w:szCs w:val="28"/>
        </w:rPr>
        <w:t>.р</w:t>
      </w:r>
      <w:proofErr w:type="gramEnd"/>
      <w:r>
        <w:rPr>
          <w:snapToGrid w:val="0"/>
          <w:szCs w:val="28"/>
        </w:rPr>
        <w:t>уб</w:t>
      </w:r>
      <w:proofErr w:type="spellEnd"/>
      <w:r>
        <w:rPr>
          <w:snapToGrid w:val="0"/>
          <w:szCs w:val="28"/>
        </w:rPr>
        <w:t xml:space="preserve">. </w:t>
      </w:r>
    </w:p>
    <w:p w:rsidR="00C83EEA" w:rsidRDefault="00C83EEA" w:rsidP="00C83EEA">
      <w:pPr>
        <w:ind w:firstLine="708"/>
        <w:jc w:val="both"/>
      </w:pPr>
      <w:proofErr w:type="gramStart"/>
      <w:r>
        <w:t>С целью формирования оптимальной структуры портфеля государственного пакета акций, принадлежащего Томской области, обеспечения минимального участия государс</w:t>
      </w:r>
      <w:r>
        <w:t>т</w:t>
      </w:r>
      <w:r>
        <w:t xml:space="preserve">ва в рыночных отраслях экономики Департаментом по управлению государственной собственностью Томской области осуществляется </w:t>
      </w:r>
      <w:r w:rsidRPr="006E30DF">
        <w:t>анализ деятельности хозяйственных обществ в соответствии с критериями для их сохранения в собственности Томской обл</w:t>
      </w:r>
      <w:r w:rsidRPr="006E30DF">
        <w:t>а</w:t>
      </w:r>
      <w:r w:rsidRPr="006E30DF">
        <w:t>сти</w:t>
      </w:r>
      <w:r>
        <w:t>, определенными п</w:t>
      </w:r>
      <w:r w:rsidRPr="006E30DF">
        <w:t>остановление</w:t>
      </w:r>
      <w:r>
        <w:t>м</w:t>
      </w:r>
      <w:r w:rsidRPr="006E30DF">
        <w:t xml:space="preserve"> Губернатора Т</w:t>
      </w:r>
      <w:r>
        <w:t>омской области от 30.06.200</w:t>
      </w:r>
      <w:r w:rsidRPr="008E641D">
        <w:t>7</w:t>
      </w:r>
      <w:r>
        <w:t xml:space="preserve"> № </w:t>
      </w:r>
      <w:r w:rsidRPr="006E30DF">
        <w:t>84</w:t>
      </w:r>
      <w:r>
        <w:t>.</w:t>
      </w:r>
      <w:proofErr w:type="gramEnd"/>
      <w:r>
        <w:t xml:space="preserve"> Ожидаемыми результатами реализации данной политики должен был стать рост объема неналоговых доходов, поступающих в областной бюджет в виде </w:t>
      </w:r>
      <w:r>
        <w:lastRenderedPageBreak/>
        <w:t>дивидендов и средств от пр</w:t>
      </w:r>
      <w:r>
        <w:t>о</w:t>
      </w:r>
      <w:r>
        <w:t>дажи ликвидных пакетов акций, а также оптимизация хозяйственных обществ с долей госсобственности</w:t>
      </w:r>
      <w:r>
        <w:rPr>
          <w:b/>
        </w:rPr>
        <w:t xml:space="preserve"> </w:t>
      </w:r>
      <w:r w:rsidRPr="00533AC5">
        <w:t>в уставных капиталах</w:t>
      </w:r>
      <w:r>
        <w:t xml:space="preserve">. </w:t>
      </w:r>
    </w:p>
    <w:p w:rsidR="00C83EEA" w:rsidRDefault="00C83EEA" w:rsidP="00C83EEA">
      <w:pPr>
        <w:tabs>
          <w:tab w:val="left" w:pos="0"/>
        </w:tabs>
        <w:ind w:firstLine="720"/>
        <w:jc w:val="both"/>
      </w:pPr>
      <w:r>
        <w:t>Однако п</w:t>
      </w:r>
      <w:r w:rsidRPr="00273918">
        <w:t xml:space="preserve">оказатель </w:t>
      </w:r>
      <w:r>
        <w:t>доходов, поступивших в областной бюджет в виде дивиде</w:t>
      </w:r>
      <w:r>
        <w:t>н</w:t>
      </w:r>
      <w:r>
        <w:t>дов</w:t>
      </w:r>
      <w:r w:rsidRPr="00BF67F3">
        <w:t xml:space="preserve"> </w:t>
      </w:r>
      <w:r w:rsidRPr="00273918">
        <w:t xml:space="preserve">по акциям, принадлежащим </w:t>
      </w:r>
      <w:r>
        <w:t>Томской области,</w:t>
      </w:r>
      <w:r w:rsidRPr="00273918">
        <w:t xml:space="preserve"> в расчет</w:t>
      </w:r>
      <w:r>
        <w:t xml:space="preserve">е на 1 </w:t>
      </w:r>
      <w:proofErr w:type="spellStart"/>
      <w:r>
        <w:t>тыс</w:t>
      </w:r>
      <w:proofErr w:type="gramStart"/>
      <w:r>
        <w:t>.</w:t>
      </w:r>
      <w:r w:rsidRPr="00273918">
        <w:t>р</w:t>
      </w:r>
      <w:proofErr w:type="gramEnd"/>
      <w:r w:rsidRPr="00273918">
        <w:t>уб</w:t>
      </w:r>
      <w:proofErr w:type="spellEnd"/>
      <w:r w:rsidRPr="00273918">
        <w:t>. вложе</w:t>
      </w:r>
      <w:r w:rsidRPr="00273918">
        <w:t>н</w:t>
      </w:r>
      <w:r w:rsidRPr="00273918">
        <w:t xml:space="preserve">ных средств </w:t>
      </w:r>
      <w:r>
        <w:t>за 2012 год составит 5,38 руб., что незначительно выше уровня, сложившегося за два предыдущих г</w:t>
      </w:r>
      <w:r>
        <w:t>о</w:t>
      </w:r>
      <w:r>
        <w:t xml:space="preserve">да: 2010 - 4,79 руб., 2011 - 4,88 руб. </w:t>
      </w:r>
    </w:p>
    <w:p w:rsidR="00C83EEA" w:rsidRDefault="00C83EEA" w:rsidP="00C83EEA">
      <w:pPr>
        <w:ind w:firstLine="708"/>
        <w:jc w:val="both"/>
      </w:pPr>
      <w:r>
        <w:t xml:space="preserve">Предусмотренный законопроектом рост планируемого объема дивидендов на 2013-2015 годы наблюдается, в основном, лишь за счет создания новых акционерных обществ (путем преобразования ОГУП дорожной отрасли) и соответствующего снижения доходов </w:t>
      </w:r>
      <w:r w:rsidRPr="00DC1974">
        <w:t>от перечисления части прибыли, остающейся после уплаты налогов и иных обязател</w:t>
      </w:r>
      <w:r w:rsidRPr="00DC1974">
        <w:t>ь</w:t>
      </w:r>
      <w:r w:rsidRPr="00DC1974">
        <w:t>ных платежей областных государственных унитарных пред</w:t>
      </w:r>
      <w:r>
        <w:t>приятий. Поступление средств от приватизации принадлежащих Томской области пакетов акций, долей в уставных капиталах хозяйственных обществ, осуществляющих деятельность в отраслях с конкурентной средой,</w:t>
      </w:r>
      <w:r w:rsidRPr="00385883">
        <w:t xml:space="preserve"> </w:t>
      </w:r>
      <w:r>
        <w:t>в 2013-2015 годах законопроектом не предусматривае</w:t>
      </w:r>
      <w:r>
        <w:t>т</w:t>
      </w:r>
      <w:r>
        <w:t>ся.</w:t>
      </w:r>
    </w:p>
    <w:p w:rsidR="00C83EEA" w:rsidRDefault="00C83EEA" w:rsidP="00C83EEA">
      <w:pPr>
        <w:tabs>
          <w:tab w:val="left" w:pos="720"/>
        </w:tabs>
        <w:jc w:val="both"/>
        <w:rPr>
          <w:b/>
        </w:rPr>
      </w:pPr>
      <w:r>
        <w:tab/>
      </w:r>
    </w:p>
    <w:p w:rsidR="00C83EEA" w:rsidRDefault="00C83EEA" w:rsidP="00C83EEA">
      <w:pPr>
        <w:tabs>
          <w:tab w:val="left" w:pos="720"/>
        </w:tabs>
        <w:autoSpaceDE w:val="0"/>
        <w:autoSpaceDN w:val="0"/>
        <w:adjustRightInd w:val="0"/>
        <w:jc w:val="both"/>
      </w:pPr>
      <w:r>
        <w:rPr>
          <w:b/>
        </w:rPr>
        <w:t xml:space="preserve">5.6 </w:t>
      </w:r>
      <w:r w:rsidRPr="000E7671">
        <w:rPr>
          <w:b/>
        </w:rPr>
        <w:t>Доходы от продажи материальных и нематериальных активов</w:t>
      </w:r>
      <w:r w:rsidRPr="000E7671">
        <w:t xml:space="preserve"> </w:t>
      </w:r>
      <w:r w:rsidRPr="000E7671">
        <w:rPr>
          <w:snapToGrid w:val="0"/>
        </w:rPr>
        <w:t>п</w:t>
      </w:r>
      <w:r w:rsidRPr="000E7671">
        <w:t>р</w:t>
      </w:r>
      <w:r>
        <w:t>огнозирую</w:t>
      </w:r>
      <w:r>
        <w:t>т</w:t>
      </w:r>
      <w:r>
        <w:t>ся</w:t>
      </w:r>
      <w:r w:rsidRPr="00C03F60">
        <w:t xml:space="preserve"> на 2013 год в сумме </w:t>
      </w:r>
      <w:r>
        <w:t xml:space="preserve">73 668 </w:t>
      </w:r>
      <w:proofErr w:type="spellStart"/>
      <w:r>
        <w:t>тыс</w:t>
      </w:r>
      <w:proofErr w:type="gramStart"/>
      <w:r>
        <w:t>.р</w:t>
      </w:r>
      <w:proofErr w:type="gramEnd"/>
      <w:r>
        <w:t>уб</w:t>
      </w:r>
      <w:proofErr w:type="spellEnd"/>
      <w:r>
        <w:t>.</w:t>
      </w:r>
      <w:r w:rsidRPr="00C03F60">
        <w:t xml:space="preserve"> с</w:t>
      </w:r>
      <w:r>
        <w:t>о снижением на 18,7</w:t>
      </w:r>
      <w:r w:rsidRPr="00C03F60">
        <w:t>% по сравнению с ожида</w:t>
      </w:r>
      <w:r w:rsidRPr="00C03F60">
        <w:t>е</w:t>
      </w:r>
      <w:r w:rsidRPr="00C03F60">
        <w:t>м</w:t>
      </w:r>
      <w:r>
        <w:t>ой</w:t>
      </w:r>
      <w:r w:rsidRPr="00C03F60">
        <w:t xml:space="preserve"> </w:t>
      </w:r>
      <w:r>
        <w:t>оценкой з</w:t>
      </w:r>
      <w:r w:rsidRPr="00C03F60">
        <w:t xml:space="preserve">а 2012 год </w:t>
      </w:r>
      <w:r>
        <w:t xml:space="preserve">(90 608 </w:t>
      </w:r>
      <w:proofErr w:type="spellStart"/>
      <w:r>
        <w:t>тыс.руб</w:t>
      </w:r>
      <w:proofErr w:type="spellEnd"/>
      <w:r>
        <w:t>. или 5</w:t>
      </w:r>
      <w:r w:rsidRPr="00C03F60">
        <w:t>4,</w:t>
      </w:r>
      <w:r>
        <w:t>6</w:t>
      </w:r>
      <w:r w:rsidRPr="00C03F60">
        <w:t xml:space="preserve">% </w:t>
      </w:r>
      <w:r>
        <w:t>к</w:t>
      </w:r>
      <w:r w:rsidRPr="00C03F60">
        <w:t xml:space="preserve"> план</w:t>
      </w:r>
      <w:r>
        <w:t>у</w:t>
      </w:r>
      <w:r w:rsidRPr="00C03F60">
        <w:t xml:space="preserve"> на текущий год). Прогноз дох</w:t>
      </w:r>
      <w:r w:rsidRPr="00C03F60">
        <w:t>о</w:t>
      </w:r>
      <w:r w:rsidRPr="00C03F60">
        <w:t>дов на 201</w:t>
      </w:r>
      <w:r>
        <w:t>4, 2015</w:t>
      </w:r>
      <w:r w:rsidRPr="00C03F60">
        <w:t xml:space="preserve"> год</w:t>
      </w:r>
      <w:r>
        <w:t>ы</w:t>
      </w:r>
      <w:r w:rsidRPr="00C03F60">
        <w:t xml:space="preserve"> </w:t>
      </w:r>
      <w:r>
        <w:t>-</w:t>
      </w:r>
      <w:r w:rsidRPr="00C03F60">
        <w:t xml:space="preserve"> </w:t>
      </w:r>
      <w:r>
        <w:t xml:space="preserve">64 129 </w:t>
      </w:r>
      <w:proofErr w:type="spellStart"/>
      <w:r>
        <w:t>тыс</w:t>
      </w:r>
      <w:proofErr w:type="gramStart"/>
      <w:r>
        <w:t>.</w:t>
      </w:r>
      <w:r w:rsidRPr="00C03F60">
        <w:t>р</w:t>
      </w:r>
      <w:proofErr w:type="gramEnd"/>
      <w:r w:rsidRPr="00C03F60">
        <w:t>уб</w:t>
      </w:r>
      <w:proofErr w:type="spellEnd"/>
      <w:r w:rsidRPr="00C03F60">
        <w:t xml:space="preserve">. </w:t>
      </w:r>
      <w:r>
        <w:t xml:space="preserve">ежегодно (снижение </w:t>
      </w:r>
      <w:r w:rsidRPr="00C03F60">
        <w:t xml:space="preserve">на </w:t>
      </w:r>
      <w:r>
        <w:t xml:space="preserve">9 539 </w:t>
      </w:r>
      <w:proofErr w:type="spellStart"/>
      <w:r>
        <w:t>тыс.</w:t>
      </w:r>
      <w:r w:rsidRPr="00C03F60">
        <w:t>руб</w:t>
      </w:r>
      <w:proofErr w:type="spellEnd"/>
      <w:r w:rsidRPr="00C03F60">
        <w:t xml:space="preserve">. </w:t>
      </w:r>
      <w:r>
        <w:t xml:space="preserve">или на 13% </w:t>
      </w:r>
      <w:r w:rsidRPr="00C03F60">
        <w:t>к п</w:t>
      </w:r>
      <w:r w:rsidRPr="00C03F60">
        <w:t>о</w:t>
      </w:r>
      <w:r w:rsidRPr="00C03F60">
        <w:t>казателю 2013 го</w:t>
      </w:r>
      <w:r>
        <w:t>да)</w:t>
      </w:r>
      <w:r w:rsidRPr="00C03F60">
        <w:t xml:space="preserve">. </w:t>
      </w:r>
    </w:p>
    <w:p w:rsidR="00C83EEA" w:rsidRDefault="00C83EEA" w:rsidP="00C83EEA">
      <w:pPr>
        <w:tabs>
          <w:tab w:val="left" w:pos="720"/>
        </w:tabs>
        <w:autoSpaceDE w:val="0"/>
        <w:autoSpaceDN w:val="0"/>
        <w:adjustRightInd w:val="0"/>
        <w:jc w:val="both"/>
      </w:pPr>
      <w:r>
        <w:tab/>
      </w:r>
      <w:r w:rsidRPr="00A57578">
        <w:t>Динамика доходов</w:t>
      </w:r>
      <w:r w:rsidRPr="00A57578">
        <w:rPr>
          <w:b/>
        </w:rPr>
        <w:t xml:space="preserve"> </w:t>
      </w:r>
      <w:r w:rsidRPr="00A57578">
        <w:t xml:space="preserve">от продажи материальных и нематериальных активов </w:t>
      </w:r>
      <w:r>
        <w:t>предста</w:t>
      </w:r>
      <w:r>
        <w:t>в</w:t>
      </w:r>
      <w:r>
        <w:t>лена</w:t>
      </w:r>
      <w:r w:rsidRPr="00A57578">
        <w:t xml:space="preserve"> в таблице</w:t>
      </w:r>
      <w:r>
        <w:t xml:space="preserve"> 6.</w:t>
      </w:r>
    </w:p>
    <w:p w:rsidR="00C83EEA" w:rsidRPr="00A57578" w:rsidRDefault="00C83EEA" w:rsidP="00C83EEA">
      <w:pPr>
        <w:tabs>
          <w:tab w:val="left" w:pos="720"/>
        </w:tabs>
        <w:autoSpaceDE w:val="0"/>
        <w:autoSpaceDN w:val="0"/>
        <w:adjustRightInd w:val="0"/>
        <w:jc w:val="right"/>
      </w:pPr>
      <w:r>
        <w:t>Таблица 6</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720"/>
        <w:gridCol w:w="720"/>
        <w:gridCol w:w="1080"/>
        <w:gridCol w:w="720"/>
        <w:gridCol w:w="720"/>
        <w:gridCol w:w="720"/>
        <w:gridCol w:w="720"/>
        <w:gridCol w:w="720"/>
        <w:gridCol w:w="720"/>
      </w:tblGrid>
      <w:tr w:rsidR="00C83EEA" w:rsidRPr="00B20B70" w:rsidTr="009F24E6">
        <w:trPr>
          <w:trHeight w:val="278"/>
        </w:trPr>
        <w:tc>
          <w:tcPr>
            <w:tcW w:w="2628" w:type="dxa"/>
            <w:vMerge w:val="restart"/>
            <w:shd w:val="clear" w:color="auto" w:fill="auto"/>
            <w:vAlign w:val="center"/>
          </w:tcPr>
          <w:p w:rsidR="00C83EEA" w:rsidRPr="00B20B70" w:rsidRDefault="00C83EEA" w:rsidP="009F24E6">
            <w:pPr>
              <w:jc w:val="center"/>
              <w:rPr>
                <w:sz w:val="16"/>
                <w:szCs w:val="16"/>
              </w:rPr>
            </w:pPr>
            <w:r>
              <w:rPr>
                <w:sz w:val="16"/>
                <w:szCs w:val="16"/>
              </w:rPr>
              <w:t>показатели</w:t>
            </w:r>
          </w:p>
        </w:tc>
        <w:tc>
          <w:tcPr>
            <w:tcW w:w="720" w:type="dxa"/>
            <w:vMerge w:val="restart"/>
            <w:shd w:val="clear" w:color="auto" w:fill="auto"/>
            <w:vAlign w:val="center"/>
          </w:tcPr>
          <w:p w:rsidR="00C83EEA" w:rsidRPr="00B20B70" w:rsidRDefault="00C83EEA" w:rsidP="009F24E6">
            <w:pPr>
              <w:jc w:val="center"/>
              <w:rPr>
                <w:sz w:val="16"/>
                <w:szCs w:val="16"/>
              </w:rPr>
            </w:pPr>
            <w:r w:rsidRPr="00B20B70">
              <w:rPr>
                <w:sz w:val="16"/>
                <w:szCs w:val="16"/>
              </w:rPr>
              <w:t>2011 год (отчет)</w:t>
            </w:r>
          </w:p>
        </w:tc>
        <w:tc>
          <w:tcPr>
            <w:tcW w:w="1800" w:type="dxa"/>
            <w:gridSpan w:val="2"/>
            <w:shd w:val="clear" w:color="auto" w:fill="auto"/>
            <w:vAlign w:val="center"/>
          </w:tcPr>
          <w:p w:rsidR="00C83EEA" w:rsidRPr="00B20B70" w:rsidRDefault="00C83EEA" w:rsidP="009F24E6">
            <w:pPr>
              <w:jc w:val="center"/>
              <w:rPr>
                <w:sz w:val="16"/>
                <w:szCs w:val="16"/>
              </w:rPr>
            </w:pPr>
            <w:r w:rsidRPr="00B20B70">
              <w:rPr>
                <w:sz w:val="16"/>
                <w:szCs w:val="16"/>
              </w:rPr>
              <w:t>2012 год</w:t>
            </w:r>
          </w:p>
        </w:tc>
        <w:tc>
          <w:tcPr>
            <w:tcW w:w="1440" w:type="dxa"/>
            <w:gridSpan w:val="2"/>
            <w:shd w:val="clear" w:color="auto" w:fill="auto"/>
            <w:vAlign w:val="center"/>
          </w:tcPr>
          <w:p w:rsidR="00C83EEA" w:rsidRPr="00B20B70" w:rsidRDefault="00C83EEA" w:rsidP="009F24E6">
            <w:pPr>
              <w:jc w:val="center"/>
              <w:rPr>
                <w:sz w:val="16"/>
                <w:szCs w:val="16"/>
              </w:rPr>
            </w:pPr>
            <w:r w:rsidRPr="00B20B70">
              <w:rPr>
                <w:sz w:val="16"/>
                <w:szCs w:val="16"/>
              </w:rPr>
              <w:t>2013 год (пр</w:t>
            </w:r>
            <w:r w:rsidRPr="00B20B70">
              <w:rPr>
                <w:sz w:val="16"/>
                <w:szCs w:val="16"/>
              </w:rPr>
              <w:t>о</w:t>
            </w:r>
            <w:r w:rsidRPr="00B20B70">
              <w:rPr>
                <w:sz w:val="16"/>
                <w:szCs w:val="16"/>
              </w:rPr>
              <w:t xml:space="preserve">ект) </w:t>
            </w:r>
          </w:p>
        </w:tc>
        <w:tc>
          <w:tcPr>
            <w:tcW w:w="1440" w:type="dxa"/>
            <w:gridSpan w:val="2"/>
            <w:shd w:val="clear" w:color="auto" w:fill="auto"/>
            <w:vAlign w:val="center"/>
          </w:tcPr>
          <w:p w:rsidR="00C83EEA" w:rsidRPr="00B20B70" w:rsidRDefault="00C83EEA" w:rsidP="009F24E6">
            <w:pPr>
              <w:jc w:val="center"/>
              <w:rPr>
                <w:sz w:val="16"/>
                <w:szCs w:val="16"/>
              </w:rPr>
            </w:pPr>
            <w:r w:rsidRPr="00B20B70">
              <w:rPr>
                <w:sz w:val="16"/>
                <w:szCs w:val="16"/>
              </w:rPr>
              <w:t>2014 год (пр</w:t>
            </w:r>
            <w:r w:rsidRPr="00B20B70">
              <w:rPr>
                <w:sz w:val="16"/>
                <w:szCs w:val="16"/>
              </w:rPr>
              <w:t>о</w:t>
            </w:r>
            <w:r w:rsidRPr="00B20B70">
              <w:rPr>
                <w:sz w:val="16"/>
                <w:szCs w:val="16"/>
              </w:rPr>
              <w:t>ект)</w:t>
            </w:r>
          </w:p>
        </w:tc>
        <w:tc>
          <w:tcPr>
            <w:tcW w:w="1440" w:type="dxa"/>
            <w:gridSpan w:val="2"/>
            <w:shd w:val="clear" w:color="auto" w:fill="auto"/>
            <w:vAlign w:val="center"/>
          </w:tcPr>
          <w:p w:rsidR="00C83EEA" w:rsidRPr="00B20B70" w:rsidRDefault="00C83EEA" w:rsidP="009F24E6">
            <w:pPr>
              <w:jc w:val="center"/>
              <w:rPr>
                <w:sz w:val="16"/>
                <w:szCs w:val="16"/>
              </w:rPr>
            </w:pPr>
            <w:r w:rsidRPr="00B20B70">
              <w:rPr>
                <w:sz w:val="16"/>
                <w:szCs w:val="16"/>
              </w:rPr>
              <w:t>2015 год (пр</w:t>
            </w:r>
            <w:r w:rsidRPr="00B20B70">
              <w:rPr>
                <w:sz w:val="16"/>
                <w:szCs w:val="16"/>
              </w:rPr>
              <w:t>о</w:t>
            </w:r>
            <w:r w:rsidRPr="00B20B70">
              <w:rPr>
                <w:sz w:val="16"/>
                <w:szCs w:val="16"/>
              </w:rPr>
              <w:t>ект)</w:t>
            </w:r>
          </w:p>
        </w:tc>
      </w:tr>
      <w:tr w:rsidR="00C83EEA" w:rsidRPr="00B20B70" w:rsidTr="009F24E6">
        <w:trPr>
          <w:trHeight w:val="523"/>
        </w:trPr>
        <w:tc>
          <w:tcPr>
            <w:tcW w:w="2628" w:type="dxa"/>
            <w:vMerge/>
            <w:shd w:val="clear" w:color="auto" w:fill="auto"/>
            <w:vAlign w:val="center"/>
          </w:tcPr>
          <w:p w:rsidR="00C83EEA" w:rsidRPr="00B20B70" w:rsidRDefault="00C83EEA" w:rsidP="009F24E6">
            <w:pPr>
              <w:jc w:val="center"/>
              <w:rPr>
                <w:sz w:val="16"/>
                <w:szCs w:val="16"/>
              </w:rPr>
            </w:pPr>
          </w:p>
        </w:tc>
        <w:tc>
          <w:tcPr>
            <w:tcW w:w="720" w:type="dxa"/>
            <w:vMerge/>
            <w:shd w:val="clear" w:color="auto" w:fill="auto"/>
            <w:vAlign w:val="center"/>
          </w:tcPr>
          <w:p w:rsidR="00C83EEA" w:rsidRPr="00B20B70" w:rsidRDefault="00C83EEA" w:rsidP="009F24E6">
            <w:pPr>
              <w:jc w:val="center"/>
              <w:rPr>
                <w:sz w:val="16"/>
                <w:szCs w:val="16"/>
              </w:rPr>
            </w:pPr>
          </w:p>
        </w:tc>
        <w:tc>
          <w:tcPr>
            <w:tcW w:w="720" w:type="dxa"/>
            <w:shd w:val="clear" w:color="auto" w:fill="auto"/>
            <w:vAlign w:val="center"/>
          </w:tcPr>
          <w:p w:rsidR="00C83EEA" w:rsidRPr="00B20B70" w:rsidRDefault="00C83EEA" w:rsidP="009F24E6">
            <w:pPr>
              <w:jc w:val="center"/>
              <w:rPr>
                <w:sz w:val="16"/>
                <w:szCs w:val="16"/>
              </w:rPr>
            </w:pPr>
            <w:r w:rsidRPr="00B20B70">
              <w:rPr>
                <w:sz w:val="16"/>
                <w:szCs w:val="16"/>
              </w:rPr>
              <w:t>план</w:t>
            </w:r>
          </w:p>
        </w:tc>
        <w:tc>
          <w:tcPr>
            <w:tcW w:w="1080" w:type="dxa"/>
            <w:shd w:val="clear" w:color="auto" w:fill="auto"/>
            <w:vAlign w:val="center"/>
          </w:tcPr>
          <w:p w:rsidR="00C83EEA" w:rsidRPr="00B20B70" w:rsidRDefault="00C83EEA" w:rsidP="009F24E6">
            <w:pPr>
              <w:jc w:val="center"/>
              <w:rPr>
                <w:sz w:val="16"/>
                <w:szCs w:val="16"/>
              </w:rPr>
            </w:pPr>
            <w:proofErr w:type="spellStart"/>
            <w:r>
              <w:rPr>
                <w:sz w:val="16"/>
                <w:szCs w:val="16"/>
              </w:rPr>
              <w:t>ожид</w:t>
            </w:r>
            <w:proofErr w:type="spellEnd"/>
            <w:r>
              <w:rPr>
                <w:sz w:val="16"/>
                <w:szCs w:val="16"/>
              </w:rPr>
              <w:t xml:space="preserve">. </w:t>
            </w:r>
            <w:proofErr w:type="spellStart"/>
            <w:r>
              <w:rPr>
                <w:sz w:val="16"/>
                <w:szCs w:val="16"/>
              </w:rPr>
              <w:t>исп</w:t>
            </w:r>
            <w:proofErr w:type="spellEnd"/>
            <w:r>
              <w:rPr>
                <w:sz w:val="16"/>
                <w:szCs w:val="16"/>
              </w:rPr>
              <w:t>-е</w:t>
            </w:r>
            <w:r w:rsidRPr="00B20B70">
              <w:rPr>
                <w:sz w:val="16"/>
                <w:szCs w:val="16"/>
              </w:rPr>
              <w:t xml:space="preserve"> </w:t>
            </w:r>
          </w:p>
          <w:p w:rsidR="00C83EEA" w:rsidRPr="00B20B70" w:rsidRDefault="00C83EEA" w:rsidP="009F24E6">
            <w:pPr>
              <w:jc w:val="center"/>
              <w:rPr>
                <w:sz w:val="16"/>
                <w:szCs w:val="16"/>
              </w:rPr>
            </w:pPr>
            <w:proofErr w:type="spellStart"/>
            <w:r w:rsidRPr="00B20B70">
              <w:rPr>
                <w:sz w:val="16"/>
                <w:szCs w:val="16"/>
              </w:rPr>
              <w:t>т.р</w:t>
            </w:r>
            <w:proofErr w:type="spellEnd"/>
            <w:r w:rsidRPr="00B20B70">
              <w:rPr>
                <w:sz w:val="16"/>
                <w:szCs w:val="16"/>
              </w:rPr>
              <w:t>. / % к плану</w:t>
            </w:r>
          </w:p>
        </w:tc>
        <w:tc>
          <w:tcPr>
            <w:tcW w:w="720" w:type="dxa"/>
            <w:shd w:val="clear" w:color="auto" w:fill="auto"/>
            <w:vAlign w:val="center"/>
          </w:tcPr>
          <w:p w:rsidR="00C83EEA" w:rsidRPr="00B20B70" w:rsidRDefault="00C83EEA" w:rsidP="009F24E6">
            <w:pPr>
              <w:jc w:val="center"/>
              <w:rPr>
                <w:sz w:val="16"/>
                <w:szCs w:val="16"/>
              </w:rPr>
            </w:pPr>
            <w:r w:rsidRPr="00B20B70">
              <w:rPr>
                <w:sz w:val="16"/>
                <w:szCs w:val="16"/>
              </w:rPr>
              <w:t>тыс. руб.</w:t>
            </w:r>
          </w:p>
        </w:tc>
        <w:tc>
          <w:tcPr>
            <w:tcW w:w="720" w:type="dxa"/>
            <w:shd w:val="clear" w:color="auto" w:fill="auto"/>
            <w:vAlign w:val="center"/>
          </w:tcPr>
          <w:p w:rsidR="00C83EEA" w:rsidRPr="00B20B70" w:rsidRDefault="00C83EEA" w:rsidP="009F24E6">
            <w:pPr>
              <w:jc w:val="center"/>
              <w:rPr>
                <w:sz w:val="16"/>
                <w:szCs w:val="16"/>
              </w:rPr>
            </w:pPr>
            <w:r>
              <w:rPr>
                <w:sz w:val="16"/>
                <w:szCs w:val="16"/>
              </w:rPr>
              <w:t>к 2012</w:t>
            </w:r>
            <w:r w:rsidRPr="00B20B70">
              <w:rPr>
                <w:sz w:val="16"/>
                <w:szCs w:val="16"/>
              </w:rPr>
              <w:t xml:space="preserve"> </w:t>
            </w:r>
            <w:proofErr w:type="spellStart"/>
            <w:r w:rsidRPr="00B20B70">
              <w:rPr>
                <w:sz w:val="16"/>
                <w:szCs w:val="16"/>
              </w:rPr>
              <w:t>т.р</w:t>
            </w:r>
            <w:proofErr w:type="spellEnd"/>
            <w:r w:rsidRPr="00B20B70">
              <w:rPr>
                <w:sz w:val="16"/>
                <w:szCs w:val="16"/>
              </w:rPr>
              <w:t>. / %</w:t>
            </w:r>
          </w:p>
        </w:tc>
        <w:tc>
          <w:tcPr>
            <w:tcW w:w="720" w:type="dxa"/>
            <w:shd w:val="clear" w:color="auto" w:fill="auto"/>
            <w:vAlign w:val="center"/>
          </w:tcPr>
          <w:p w:rsidR="00C83EEA" w:rsidRPr="00B20B70" w:rsidRDefault="00C83EEA" w:rsidP="009F24E6">
            <w:pPr>
              <w:jc w:val="center"/>
              <w:rPr>
                <w:sz w:val="16"/>
                <w:szCs w:val="16"/>
              </w:rPr>
            </w:pPr>
            <w:r w:rsidRPr="00B20B70">
              <w:rPr>
                <w:sz w:val="16"/>
                <w:szCs w:val="16"/>
              </w:rPr>
              <w:t>тыс. руб.</w:t>
            </w:r>
          </w:p>
        </w:tc>
        <w:tc>
          <w:tcPr>
            <w:tcW w:w="720" w:type="dxa"/>
            <w:shd w:val="clear" w:color="auto" w:fill="auto"/>
            <w:vAlign w:val="center"/>
          </w:tcPr>
          <w:p w:rsidR="00C83EEA" w:rsidRPr="00B20B70" w:rsidRDefault="00C83EEA" w:rsidP="009F24E6">
            <w:pPr>
              <w:jc w:val="center"/>
              <w:rPr>
                <w:sz w:val="16"/>
                <w:szCs w:val="16"/>
              </w:rPr>
            </w:pPr>
            <w:r>
              <w:rPr>
                <w:sz w:val="16"/>
                <w:szCs w:val="16"/>
              </w:rPr>
              <w:t>к 2013</w:t>
            </w:r>
            <w:r w:rsidRPr="00B20B70">
              <w:rPr>
                <w:sz w:val="16"/>
                <w:szCs w:val="16"/>
              </w:rPr>
              <w:t xml:space="preserve"> </w:t>
            </w:r>
          </w:p>
          <w:p w:rsidR="00C83EEA" w:rsidRPr="00B20B70" w:rsidRDefault="00C83EEA" w:rsidP="009F24E6">
            <w:pPr>
              <w:jc w:val="center"/>
              <w:rPr>
                <w:sz w:val="16"/>
                <w:szCs w:val="16"/>
              </w:rPr>
            </w:pPr>
            <w:proofErr w:type="spellStart"/>
            <w:r w:rsidRPr="00B20B70">
              <w:rPr>
                <w:sz w:val="16"/>
                <w:szCs w:val="16"/>
              </w:rPr>
              <w:t>т.р</w:t>
            </w:r>
            <w:proofErr w:type="spellEnd"/>
            <w:r w:rsidRPr="00B20B70">
              <w:rPr>
                <w:sz w:val="16"/>
                <w:szCs w:val="16"/>
              </w:rPr>
              <w:t>. / %</w:t>
            </w:r>
          </w:p>
        </w:tc>
        <w:tc>
          <w:tcPr>
            <w:tcW w:w="720" w:type="dxa"/>
            <w:shd w:val="clear" w:color="auto" w:fill="auto"/>
            <w:vAlign w:val="center"/>
          </w:tcPr>
          <w:p w:rsidR="00C83EEA" w:rsidRPr="00B20B70" w:rsidRDefault="00C83EEA" w:rsidP="009F24E6">
            <w:pPr>
              <w:jc w:val="center"/>
              <w:rPr>
                <w:sz w:val="16"/>
                <w:szCs w:val="16"/>
              </w:rPr>
            </w:pPr>
            <w:r w:rsidRPr="00B20B70">
              <w:rPr>
                <w:sz w:val="16"/>
                <w:szCs w:val="16"/>
              </w:rPr>
              <w:t>тыс. руб.</w:t>
            </w:r>
          </w:p>
        </w:tc>
        <w:tc>
          <w:tcPr>
            <w:tcW w:w="720" w:type="dxa"/>
            <w:shd w:val="clear" w:color="auto" w:fill="auto"/>
            <w:vAlign w:val="center"/>
          </w:tcPr>
          <w:p w:rsidR="00C83EEA" w:rsidRPr="00B20B70" w:rsidRDefault="00C83EEA" w:rsidP="009F24E6">
            <w:pPr>
              <w:jc w:val="center"/>
              <w:rPr>
                <w:sz w:val="16"/>
                <w:szCs w:val="16"/>
              </w:rPr>
            </w:pPr>
            <w:r w:rsidRPr="00B20B70">
              <w:rPr>
                <w:sz w:val="16"/>
                <w:szCs w:val="16"/>
              </w:rPr>
              <w:t xml:space="preserve">к 2014 </w:t>
            </w:r>
            <w:proofErr w:type="spellStart"/>
            <w:r w:rsidRPr="00B20B70">
              <w:rPr>
                <w:sz w:val="16"/>
                <w:szCs w:val="16"/>
              </w:rPr>
              <w:t>т.р</w:t>
            </w:r>
            <w:proofErr w:type="spellEnd"/>
            <w:r w:rsidRPr="00B20B70">
              <w:rPr>
                <w:sz w:val="16"/>
                <w:szCs w:val="16"/>
              </w:rPr>
              <w:t>. / %</w:t>
            </w:r>
          </w:p>
        </w:tc>
      </w:tr>
      <w:tr w:rsidR="00C83EEA" w:rsidRPr="00B20B70" w:rsidTr="009F24E6">
        <w:trPr>
          <w:trHeight w:val="455"/>
        </w:trPr>
        <w:tc>
          <w:tcPr>
            <w:tcW w:w="2628" w:type="dxa"/>
            <w:shd w:val="clear" w:color="auto" w:fill="auto"/>
          </w:tcPr>
          <w:p w:rsidR="00C83EEA" w:rsidRPr="00B20B70" w:rsidRDefault="00C83EEA" w:rsidP="009F24E6">
            <w:pPr>
              <w:rPr>
                <w:sz w:val="16"/>
                <w:szCs w:val="16"/>
              </w:rPr>
            </w:pPr>
            <w:r>
              <w:rPr>
                <w:sz w:val="16"/>
                <w:szCs w:val="16"/>
              </w:rPr>
              <w:t>Д</w:t>
            </w:r>
            <w:r w:rsidRPr="00B20B70">
              <w:rPr>
                <w:sz w:val="16"/>
                <w:szCs w:val="16"/>
              </w:rPr>
              <w:t>оходы от продажи материал</w:t>
            </w:r>
            <w:r w:rsidRPr="00B20B70">
              <w:rPr>
                <w:sz w:val="16"/>
                <w:szCs w:val="16"/>
              </w:rPr>
              <w:t>ь</w:t>
            </w:r>
            <w:r w:rsidRPr="00B20B70">
              <w:rPr>
                <w:sz w:val="16"/>
                <w:szCs w:val="16"/>
              </w:rPr>
              <w:t>ных и нематериальных акт</w:t>
            </w:r>
            <w:r w:rsidRPr="00B20B70">
              <w:rPr>
                <w:sz w:val="16"/>
                <w:szCs w:val="16"/>
              </w:rPr>
              <w:t>и</w:t>
            </w:r>
            <w:r w:rsidRPr="00B20B70">
              <w:rPr>
                <w:sz w:val="16"/>
                <w:szCs w:val="16"/>
              </w:rPr>
              <w:t xml:space="preserve">вов </w:t>
            </w:r>
            <w:r>
              <w:rPr>
                <w:sz w:val="16"/>
                <w:szCs w:val="16"/>
              </w:rPr>
              <w:t xml:space="preserve">- </w:t>
            </w:r>
            <w:r w:rsidRPr="00B20B70">
              <w:rPr>
                <w:sz w:val="16"/>
                <w:szCs w:val="16"/>
              </w:rPr>
              <w:t>всего</w:t>
            </w:r>
            <w:r>
              <w:rPr>
                <w:sz w:val="16"/>
                <w:szCs w:val="16"/>
              </w:rPr>
              <w:t>, из них:</w:t>
            </w:r>
          </w:p>
        </w:tc>
        <w:tc>
          <w:tcPr>
            <w:tcW w:w="720" w:type="dxa"/>
            <w:shd w:val="clear" w:color="auto" w:fill="auto"/>
            <w:vAlign w:val="center"/>
          </w:tcPr>
          <w:p w:rsidR="00C83EEA" w:rsidRPr="00B20B70" w:rsidRDefault="00C83EEA" w:rsidP="009F24E6">
            <w:pPr>
              <w:ind w:left="-108"/>
              <w:jc w:val="right"/>
              <w:rPr>
                <w:sz w:val="16"/>
                <w:szCs w:val="16"/>
              </w:rPr>
            </w:pPr>
            <w:r w:rsidRPr="00B20B70">
              <w:rPr>
                <w:sz w:val="16"/>
                <w:szCs w:val="16"/>
              </w:rPr>
              <w:t>82 390</w:t>
            </w:r>
          </w:p>
        </w:tc>
        <w:tc>
          <w:tcPr>
            <w:tcW w:w="720" w:type="dxa"/>
            <w:shd w:val="clear" w:color="auto" w:fill="auto"/>
            <w:vAlign w:val="center"/>
          </w:tcPr>
          <w:p w:rsidR="00C83EEA" w:rsidRPr="00B20B70" w:rsidRDefault="00C83EEA" w:rsidP="009F24E6">
            <w:pPr>
              <w:ind w:left="-108" w:right="-108"/>
              <w:jc w:val="center"/>
              <w:rPr>
                <w:sz w:val="16"/>
                <w:szCs w:val="16"/>
              </w:rPr>
            </w:pPr>
            <w:r w:rsidRPr="00B20B70">
              <w:rPr>
                <w:sz w:val="16"/>
                <w:szCs w:val="16"/>
              </w:rPr>
              <w:t>166 077</w:t>
            </w:r>
          </w:p>
        </w:tc>
        <w:tc>
          <w:tcPr>
            <w:tcW w:w="1080" w:type="dxa"/>
            <w:shd w:val="clear" w:color="auto" w:fill="auto"/>
            <w:vAlign w:val="center"/>
          </w:tcPr>
          <w:p w:rsidR="00C83EEA" w:rsidRPr="00B20B70" w:rsidRDefault="00C83EEA" w:rsidP="009F24E6">
            <w:pPr>
              <w:jc w:val="center"/>
              <w:rPr>
                <w:sz w:val="16"/>
                <w:szCs w:val="16"/>
              </w:rPr>
            </w:pPr>
            <w:r w:rsidRPr="00B20B70">
              <w:rPr>
                <w:sz w:val="16"/>
                <w:szCs w:val="16"/>
              </w:rPr>
              <w:t>90 608</w:t>
            </w:r>
          </w:p>
          <w:p w:rsidR="00C83EEA" w:rsidRPr="00B20B70" w:rsidRDefault="00C83EEA" w:rsidP="009F24E6">
            <w:pPr>
              <w:jc w:val="center"/>
              <w:rPr>
                <w:sz w:val="16"/>
                <w:szCs w:val="16"/>
              </w:rPr>
            </w:pPr>
            <w:r w:rsidRPr="00B20B70">
              <w:rPr>
                <w:sz w:val="16"/>
                <w:szCs w:val="16"/>
              </w:rPr>
              <w:t>54,6%</w:t>
            </w:r>
          </w:p>
        </w:tc>
        <w:tc>
          <w:tcPr>
            <w:tcW w:w="720" w:type="dxa"/>
            <w:shd w:val="clear" w:color="auto" w:fill="auto"/>
            <w:vAlign w:val="center"/>
          </w:tcPr>
          <w:p w:rsidR="00C83EEA" w:rsidRPr="00B20B70" w:rsidRDefault="00C83EEA" w:rsidP="009F24E6">
            <w:pPr>
              <w:ind w:left="-108"/>
              <w:jc w:val="center"/>
              <w:rPr>
                <w:sz w:val="16"/>
                <w:szCs w:val="16"/>
              </w:rPr>
            </w:pPr>
            <w:r w:rsidRPr="00B20B70">
              <w:rPr>
                <w:sz w:val="16"/>
                <w:szCs w:val="16"/>
              </w:rPr>
              <w:t xml:space="preserve">   73 668</w:t>
            </w:r>
          </w:p>
        </w:tc>
        <w:tc>
          <w:tcPr>
            <w:tcW w:w="720" w:type="dxa"/>
            <w:shd w:val="clear" w:color="auto" w:fill="auto"/>
            <w:vAlign w:val="center"/>
          </w:tcPr>
          <w:p w:rsidR="00C83EEA" w:rsidRPr="00B20B70" w:rsidRDefault="00C83EEA" w:rsidP="009F24E6">
            <w:pPr>
              <w:ind w:right="-108"/>
              <w:jc w:val="center"/>
              <w:rPr>
                <w:sz w:val="16"/>
                <w:szCs w:val="16"/>
              </w:rPr>
            </w:pPr>
            <w:r w:rsidRPr="00B20B70">
              <w:rPr>
                <w:sz w:val="16"/>
                <w:szCs w:val="16"/>
              </w:rPr>
              <w:t>-16 940</w:t>
            </w:r>
          </w:p>
          <w:p w:rsidR="00C83EEA" w:rsidRPr="00B20B70" w:rsidRDefault="00C83EEA" w:rsidP="009F24E6">
            <w:pPr>
              <w:ind w:right="-108"/>
              <w:jc w:val="center"/>
              <w:rPr>
                <w:sz w:val="16"/>
                <w:szCs w:val="16"/>
              </w:rPr>
            </w:pPr>
            <w:r w:rsidRPr="00B20B70">
              <w:rPr>
                <w:sz w:val="16"/>
                <w:szCs w:val="16"/>
              </w:rPr>
              <w:t>81,3</w:t>
            </w:r>
          </w:p>
        </w:tc>
        <w:tc>
          <w:tcPr>
            <w:tcW w:w="720" w:type="dxa"/>
            <w:shd w:val="clear" w:color="auto" w:fill="auto"/>
            <w:vAlign w:val="center"/>
          </w:tcPr>
          <w:p w:rsidR="00C83EEA" w:rsidRPr="00B20B70" w:rsidRDefault="00C83EEA" w:rsidP="009F24E6">
            <w:pPr>
              <w:ind w:left="-108"/>
              <w:jc w:val="center"/>
              <w:rPr>
                <w:sz w:val="16"/>
                <w:szCs w:val="16"/>
              </w:rPr>
            </w:pPr>
            <w:r w:rsidRPr="00B20B70">
              <w:rPr>
                <w:sz w:val="16"/>
                <w:szCs w:val="16"/>
              </w:rPr>
              <w:t xml:space="preserve">    64 129</w:t>
            </w:r>
          </w:p>
        </w:tc>
        <w:tc>
          <w:tcPr>
            <w:tcW w:w="720" w:type="dxa"/>
            <w:shd w:val="clear" w:color="auto" w:fill="auto"/>
            <w:vAlign w:val="center"/>
          </w:tcPr>
          <w:p w:rsidR="00C83EEA" w:rsidRPr="00B20B70" w:rsidRDefault="00C83EEA" w:rsidP="009F24E6">
            <w:pPr>
              <w:ind w:right="-108"/>
              <w:jc w:val="center"/>
              <w:rPr>
                <w:sz w:val="16"/>
                <w:szCs w:val="16"/>
              </w:rPr>
            </w:pPr>
            <w:r w:rsidRPr="00B20B70">
              <w:rPr>
                <w:sz w:val="16"/>
                <w:szCs w:val="16"/>
              </w:rPr>
              <w:t>-9 539</w:t>
            </w:r>
          </w:p>
          <w:p w:rsidR="00C83EEA" w:rsidRPr="00B20B70" w:rsidRDefault="00C83EEA" w:rsidP="009F24E6">
            <w:pPr>
              <w:ind w:right="-108"/>
              <w:jc w:val="center"/>
              <w:rPr>
                <w:sz w:val="16"/>
                <w:szCs w:val="16"/>
              </w:rPr>
            </w:pPr>
            <w:r w:rsidRPr="00B20B70">
              <w:rPr>
                <w:sz w:val="16"/>
                <w:szCs w:val="16"/>
              </w:rPr>
              <w:t>87,1%</w:t>
            </w:r>
          </w:p>
        </w:tc>
        <w:tc>
          <w:tcPr>
            <w:tcW w:w="720" w:type="dxa"/>
            <w:shd w:val="clear" w:color="auto" w:fill="auto"/>
            <w:vAlign w:val="center"/>
          </w:tcPr>
          <w:p w:rsidR="00C83EEA" w:rsidRPr="00B20B70" w:rsidRDefault="00C83EEA" w:rsidP="009F24E6">
            <w:pPr>
              <w:ind w:left="-108"/>
              <w:jc w:val="center"/>
              <w:rPr>
                <w:sz w:val="16"/>
                <w:szCs w:val="16"/>
              </w:rPr>
            </w:pPr>
            <w:r w:rsidRPr="00B20B70">
              <w:rPr>
                <w:sz w:val="16"/>
                <w:szCs w:val="16"/>
              </w:rPr>
              <w:t xml:space="preserve">    64 129</w:t>
            </w:r>
          </w:p>
        </w:tc>
        <w:tc>
          <w:tcPr>
            <w:tcW w:w="720" w:type="dxa"/>
            <w:shd w:val="clear" w:color="auto" w:fill="auto"/>
            <w:vAlign w:val="center"/>
          </w:tcPr>
          <w:p w:rsidR="00C83EEA" w:rsidRPr="00B20B70" w:rsidRDefault="00C83EEA" w:rsidP="009F24E6">
            <w:pPr>
              <w:ind w:right="-108"/>
              <w:jc w:val="center"/>
              <w:rPr>
                <w:sz w:val="16"/>
                <w:szCs w:val="16"/>
              </w:rPr>
            </w:pPr>
            <w:r w:rsidRPr="00B20B70">
              <w:rPr>
                <w:sz w:val="16"/>
                <w:szCs w:val="16"/>
              </w:rPr>
              <w:t>-</w:t>
            </w:r>
          </w:p>
          <w:p w:rsidR="00C83EEA" w:rsidRPr="00B20B70" w:rsidRDefault="00C83EEA" w:rsidP="009F24E6">
            <w:pPr>
              <w:jc w:val="center"/>
              <w:rPr>
                <w:sz w:val="16"/>
                <w:szCs w:val="16"/>
              </w:rPr>
            </w:pPr>
            <w:r w:rsidRPr="00B20B70">
              <w:rPr>
                <w:sz w:val="16"/>
                <w:szCs w:val="16"/>
              </w:rPr>
              <w:t>100%</w:t>
            </w:r>
          </w:p>
        </w:tc>
      </w:tr>
      <w:tr w:rsidR="00C83EEA" w:rsidRPr="00B20B70" w:rsidTr="009F24E6">
        <w:tc>
          <w:tcPr>
            <w:tcW w:w="2628" w:type="dxa"/>
            <w:shd w:val="clear" w:color="auto" w:fill="auto"/>
          </w:tcPr>
          <w:p w:rsidR="00C83EEA" w:rsidRPr="00B20B70" w:rsidRDefault="00C83EEA" w:rsidP="009F24E6">
            <w:pPr>
              <w:ind w:right="-108"/>
              <w:rPr>
                <w:sz w:val="16"/>
                <w:szCs w:val="16"/>
              </w:rPr>
            </w:pPr>
            <w:r w:rsidRPr="00B20B70">
              <w:rPr>
                <w:sz w:val="16"/>
                <w:szCs w:val="16"/>
              </w:rPr>
              <w:t>- от реализации имущества, находящегося в собственн</w:t>
            </w:r>
            <w:r w:rsidRPr="00B20B70">
              <w:rPr>
                <w:sz w:val="16"/>
                <w:szCs w:val="16"/>
              </w:rPr>
              <w:t>о</w:t>
            </w:r>
            <w:r w:rsidRPr="00B20B70">
              <w:rPr>
                <w:sz w:val="16"/>
                <w:szCs w:val="16"/>
              </w:rPr>
              <w:t>сти Т</w:t>
            </w:r>
            <w:r>
              <w:rPr>
                <w:sz w:val="16"/>
                <w:szCs w:val="16"/>
              </w:rPr>
              <w:t>ом</w:t>
            </w:r>
            <w:proofErr w:type="gramStart"/>
            <w:r>
              <w:rPr>
                <w:sz w:val="16"/>
                <w:szCs w:val="16"/>
              </w:rPr>
              <w:t>.</w:t>
            </w:r>
            <w:proofErr w:type="gramEnd"/>
            <w:r>
              <w:rPr>
                <w:sz w:val="16"/>
                <w:szCs w:val="16"/>
              </w:rPr>
              <w:t xml:space="preserve"> </w:t>
            </w:r>
            <w:proofErr w:type="gramStart"/>
            <w:r>
              <w:rPr>
                <w:sz w:val="16"/>
                <w:szCs w:val="16"/>
              </w:rPr>
              <w:t>о</w:t>
            </w:r>
            <w:proofErr w:type="gramEnd"/>
            <w:r>
              <w:rPr>
                <w:sz w:val="16"/>
                <w:szCs w:val="16"/>
              </w:rPr>
              <w:t>бл.</w:t>
            </w:r>
          </w:p>
        </w:tc>
        <w:tc>
          <w:tcPr>
            <w:tcW w:w="720" w:type="dxa"/>
            <w:shd w:val="clear" w:color="auto" w:fill="auto"/>
            <w:vAlign w:val="center"/>
          </w:tcPr>
          <w:p w:rsidR="00C83EEA" w:rsidRPr="00B20B70" w:rsidRDefault="00C83EEA" w:rsidP="009F24E6">
            <w:pPr>
              <w:jc w:val="center"/>
              <w:rPr>
                <w:sz w:val="16"/>
                <w:szCs w:val="16"/>
              </w:rPr>
            </w:pPr>
            <w:r w:rsidRPr="00B20B70">
              <w:rPr>
                <w:sz w:val="16"/>
                <w:szCs w:val="16"/>
              </w:rPr>
              <w:t>286</w:t>
            </w:r>
          </w:p>
        </w:tc>
        <w:tc>
          <w:tcPr>
            <w:tcW w:w="720" w:type="dxa"/>
            <w:shd w:val="clear" w:color="auto" w:fill="auto"/>
            <w:vAlign w:val="center"/>
          </w:tcPr>
          <w:p w:rsidR="00C83EEA" w:rsidRPr="00B20B70" w:rsidRDefault="00C83EEA" w:rsidP="009F24E6">
            <w:pPr>
              <w:jc w:val="center"/>
              <w:rPr>
                <w:sz w:val="16"/>
                <w:szCs w:val="16"/>
              </w:rPr>
            </w:pPr>
            <w:r w:rsidRPr="00B20B70">
              <w:rPr>
                <w:sz w:val="16"/>
                <w:szCs w:val="16"/>
              </w:rPr>
              <w:t>76 786</w:t>
            </w:r>
          </w:p>
        </w:tc>
        <w:tc>
          <w:tcPr>
            <w:tcW w:w="1080" w:type="dxa"/>
            <w:shd w:val="clear" w:color="auto" w:fill="auto"/>
            <w:vAlign w:val="center"/>
          </w:tcPr>
          <w:p w:rsidR="00C83EEA" w:rsidRPr="00B20B70" w:rsidRDefault="00C83EEA" w:rsidP="009F24E6">
            <w:pPr>
              <w:jc w:val="center"/>
              <w:rPr>
                <w:sz w:val="16"/>
                <w:szCs w:val="16"/>
              </w:rPr>
            </w:pPr>
            <w:r w:rsidRPr="00B20B70">
              <w:rPr>
                <w:sz w:val="16"/>
                <w:szCs w:val="16"/>
              </w:rPr>
              <w:t>32 695</w:t>
            </w:r>
          </w:p>
          <w:p w:rsidR="00C83EEA" w:rsidRPr="00B20B70" w:rsidRDefault="00C83EEA" w:rsidP="009F24E6">
            <w:pPr>
              <w:jc w:val="center"/>
              <w:rPr>
                <w:sz w:val="16"/>
                <w:szCs w:val="16"/>
              </w:rPr>
            </w:pPr>
            <w:r w:rsidRPr="00B20B70">
              <w:rPr>
                <w:sz w:val="16"/>
                <w:szCs w:val="16"/>
              </w:rPr>
              <w:t>42,6%</w:t>
            </w:r>
          </w:p>
        </w:tc>
        <w:tc>
          <w:tcPr>
            <w:tcW w:w="720" w:type="dxa"/>
            <w:shd w:val="clear" w:color="auto" w:fill="auto"/>
            <w:vAlign w:val="center"/>
          </w:tcPr>
          <w:p w:rsidR="00C83EEA" w:rsidRPr="00B20B70" w:rsidRDefault="00C83EEA" w:rsidP="009F24E6">
            <w:pPr>
              <w:jc w:val="center"/>
              <w:rPr>
                <w:sz w:val="16"/>
                <w:szCs w:val="16"/>
              </w:rPr>
            </w:pPr>
            <w:r w:rsidRPr="00B20B70">
              <w:rPr>
                <w:sz w:val="16"/>
                <w:szCs w:val="16"/>
              </w:rPr>
              <w:t>9 534</w:t>
            </w:r>
          </w:p>
        </w:tc>
        <w:tc>
          <w:tcPr>
            <w:tcW w:w="720" w:type="dxa"/>
            <w:shd w:val="clear" w:color="auto" w:fill="auto"/>
            <w:vAlign w:val="center"/>
          </w:tcPr>
          <w:p w:rsidR="00C83EEA" w:rsidRPr="00B20B70" w:rsidRDefault="00C83EEA" w:rsidP="009F24E6">
            <w:pPr>
              <w:ind w:left="-108" w:right="-108"/>
              <w:jc w:val="center"/>
              <w:rPr>
                <w:sz w:val="16"/>
                <w:szCs w:val="16"/>
              </w:rPr>
            </w:pPr>
            <w:r w:rsidRPr="00B20B70">
              <w:rPr>
                <w:sz w:val="16"/>
                <w:szCs w:val="16"/>
              </w:rPr>
              <w:t>-23 161</w:t>
            </w:r>
          </w:p>
          <w:p w:rsidR="00C83EEA" w:rsidRPr="00B20B70" w:rsidRDefault="00C83EEA" w:rsidP="009F24E6">
            <w:pPr>
              <w:ind w:left="-108" w:right="-108"/>
              <w:jc w:val="center"/>
              <w:rPr>
                <w:sz w:val="16"/>
                <w:szCs w:val="16"/>
              </w:rPr>
            </w:pPr>
            <w:r w:rsidRPr="00B20B70">
              <w:rPr>
                <w:sz w:val="16"/>
                <w:szCs w:val="16"/>
              </w:rPr>
              <w:t>29,2%</w:t>
            </w:r>
          </w:p>
        </w:tc>
        <w:tc>
          <w:tcPr>
            <w:tcW w:w="720" w:type="dxa"/>
            <w:shd w:val="clear" w:color="auto" w:fill="auto"/>
            <w:vAlign w:val="center"/>
          </w:tcPr>
          <w:p w:rsidR="00C83EEA" w:rsidRPr="00B20B70" w:rsidRDefault="00C83EEA" w:rsidP="009F24E6">
            <w:pPr>
              <w:jc w:val="center"/>
              <w:rPr>
                <w:sz w:val="16"/>
                <w:szCs w:val="16"/>
              </w:rPr>
            </w:pPr>
            <w:r w:rsidRPr="00B20B70">
              <w:rPr>
                <w:sz w:val="16"/>
                <w:szCs w:val="16"/>
              </w:rPr>
              <w:t>-</w:t>
            </w:r>
          </w:p>
        </w:tc>
        <w:tc>
          <w:tcPr>
            <w:tcW w:w="720" w:type="dxa"/>
            <w:shd w:val="clear" w:color="auto" w:fill="auto"/>
            <w:vAlign w:val="center"/>
          </w:tcPr>
          <w:p w:rsidR="00C83EEA" w:rsidRPr="00B20B70" w:rsidRDefault="00C83EEA" w:rsidP="009F24E6">
            <w:pPr>
              <w:ind w:right="-108"/>
              <w:jc w:val="center"/>
              <w:rPr>
                <w:sz w:val="16"/>
                <w:szCs w:val="16"/>
              </w:rPr>
            </w:pPr>
            <w:r w:rsidRPr="00B20B70">
              <w:rPr>
                <w:sz w:val="16"/>
                <w:szCs w:val="16"/>
              </w:rPr>
              <w:t>-9 534</w:t>
            </w:r>
          </w:p>
        </w:tc>
        <w:tc>
          <w:tcPr>
            <w:tcW w:w="720" w:type="dxa"/>
            <w:shd w:val="clear" w:color="auto" w:fill="auto"/>
            <w:vAlign w:val="center"/>
          </w:tcPr>
          <w:p w:rsidR="00C83EEA" w:rsidRPr="00B20B70" w:rsidRDefault="00C83EEA" w:rsidP="009F24E6">
            <w:pPr>
              <w:jc w:val="center"/>
              <w:rPr>
                <w:sz w:val="16"/>
                <w:szCs w:val="16"/>
              </w:rPr>
            </w:pPr>
            <w:r w:rsidRPr="00B20B70">
              <w:rPr>
                <w:sz w:val="16"/>
                <w:szCs w:val="16"/>
              </w:rPr>
              <w:t>-</w:t>
            </w:r>
          </w:p>
        </w:tc>
        <w:tc>
          <w:tcPr>
            <w:tcW w:w="720" w:type="dxa"/>
            <w:shd w:val="clear" w:color="auto" w:fill="auto"/>
            <w:vAlign w:val="center"/>
          </w:tcPr>
          <w:p w:rsidR="00C83EEA" w:rsidRPr="00B20B70" w:rsidRDefault="00C83EEA" w:rsidP="009F24E6">
            <w:pPr>
              <w:ind w:right="-108"/>
              <w:jc w:val="center"/>
              <w:rPr>
                <w:sz w:val="16"/>
                <w:szCs w:val="16"/>
              </w:rPr>
            </w:pPr>
            <w:r w:rsidRPr="00B20B70">
              <w:rPr>
                <w:sz w:val="16"/>
                <w:szCs w:val="16"/>
              </w:rPr>
              <w:t>-</w:t>
            </w:r>
          </w:p>
        </w:tc>
      </w:tr>
      <w:tr w:rsidR="00C83EEA" w:rsidRPr="00B20B70" w:rsidTr="009F24E6">
        <w:tc>
          <w:tcPr>
            <w:tcW w:w="2628" w:type="dxa"/>
            <w:shd w:val="clear" w:color="auto" w:fill="auto"/>
          </w:tcPr>
          <w:p w:rsidR="00C83EEA" w:rsidRPr="00B20B70" w:rsidRDefault="00C83EEA" w:rsidP="009F24E6">
            <w:pPr>
              <w:rPr>
                <w:sz w:val="16"/>
                <w:szCs w:val="16"/>
              </w:rPr>
            </w:pPr>
            <w:r w:rsidRPr="00B20B70">
              <w:rPr>
                <w:sz w:val="16"/>
                <w:szCs w:val="16"/>
              </w:rPr>
              <w:t>- от продажи зе</w:t>
            </w:r>
            <w:r w:rsidRPr="00B20B70">
              <w:rPr>
                <w:sz w:val="16"/>
                <w:szCs w:val="16"/>
              </w:rPr>
              <w:t>м</w:t>
            </w:r>
            <w:r>
              <w:rPr>
                <w:sz w:val="16"/>
                <w:szCs w:val="16"/>
              </w:rPr>
              <w:t>ельных участков</w:t>
            </w:r>
            <w:r w:rsidRPr="00B20B70">
              <w:rPr>
                <w:sz w:val="16"/>
                <w:szCs w:val="16"/>
              </w:rPr>
              <w:t>,</w:t>
            </w:r>
          </w:p>
          <w:p w:rsidR="00C83EEA" w:rsidRPr="00B20B70" w:rsidRDefault="00C83EEA" w:rsidP="009F24E6">
            <w:pPr>
              <w:rPr>
                <w:sz w:val="16"/>
                <w:szCs w:val="16"/>
              </w:rPr>
            </w:pPr>
            <w:r>
              <w:rPr>
                <w:sz w:val="16"/>
                <w:szCs w:val="16"/>
              </w:rPr>
              <w:t>в том числе</w:t>
            </w:r>
            <w:r w:rsidRPr="00B20B70">
              <w:rPr>
                <w:sz w:val="16"/>
                <w:szCs w:val="16"/>
              </w:rPr>
              <w:t>:</w:t>
            </w:r>
          </w:p>
        </w:tc>
        <w:tc>
          <w:tcPr>
            <w:tcW w:w="720" w:type="dxa"/>
            <w:shd w:val="clear" w:color="auto" w:fill="auto"/>
            <w:vAlign w:val="center"/>
          </w:tcPr>
          <w:p w:rsidR="00C83EEA" w:rsidRPr="00B20B70" w:rsidRDefault="00C83EEA" w:rsidP="009F24E6">
            <w:pPr>
              <w:jc w:val="center"/>
              <w:rPr>
                <w:sz w:val="16"/>
                <w:szCs w:val="16"/>
              </w:rPr>
            </w:pPr>
            <w:r w:rsidRPr="00B20B70">
              <w:rPr>
                <w:sz w:val="16"/>
                <w:szCs w:val="16"/>
              </w:rPr>
              <w:t>82 104</w:t>
            </w:r>
          </w:p>
        </w:tc>
        <w:tc>
          <w:tcPr>
            <w:tcW w:w="720" w:type="dxa"/>
            <w:shd w:val="clear" w:color="auto" w:fill="auto"/>
            <w:vAlign w:val="center"/>
          </w:tcPr>
          <w:p w:rsidR="00C83EEA" w:rsidRPr="00B20B70" w:rsidRDefault="00C83EEA" w:rsidP="009F24E6">
            <w:pPr>
              <w:jc w:val="center"/>
              <w:rPr>
                <w:sz w:val="16"/>
                <w:szCs w:val="16"/>
              </w:rPr>
            </w:pPr>
            <w:r w:rsidRPr="00B20B70">
              <w:rPr>
                <w:sz w:val="16"/>
                <w:szCs w:val="16"/>
              </w:rPr>
              <w:t>89 291</w:t>
            </w:r>
          </w:p>
        </w:tc>
        <w:tc>
          <w:tcPr>
            <w:tcW w:w="1080" w:type="dxa"/>
            <w:shd w:val="clear" w:color="auto" w:fill="auto"/>
            <w:vAlign w:val="center"/>
          </w:tcPr>
          <w:p w:rsidR="00C83EEA" w:rsidRPr="00B20B70" w:rsidRDefault="00C83EEA" w:rsidP="009F24E6">
            <w:pPr>
              <w:jc w:val="center"/>
              <w:rPr>
                <w:sz w:val="16"/>
                <w:szCs w:val="16"/>
              </w:rPr>
            </w:pPr>
            <w:r w:rsidRPr="00B20B70">
              <w:rPr>
                <w:sz w:val="16"/>
                <w:szCs w:val="16"/>
              </w:rPr>
              <w:t>57 913</w:t>
            </w:r>
          </w:p>
          <w:p w:rsidR="00C83EEA" w:rsidRPr="00B20B70" w:rsidRDefault="00C83EEA" w:rsidP="009F24E6">
            <w:pPr>
              <w:jc w:val="center"/>
              <w:rPr>
                <w:sz w:val="16"/>
                <w:szCs w:val="16"/>
              </w:rPr>
            </w:pPr>
            <w:r w:rsidRPr="00B20B70">
              <w:rPr>
                <w:sz w:val="16"/>
                <w:szCs w:val="16"/>
              </w:rPr>
              <w:t>64,9%</w:t>
            </w:r>
          </w:p>
        </w:tc>
        <w:tc>
          <w:tcPr>
            <w:tcW w:w="720" w:type="dxa"/>
            <w:shd w:val="clear" w:color="auto" w:fill="auto"/>
            <w:vAlign w:val="center"/>
          </w:tcPr>
          <w:p w:rsidR="00C83EEA" w:rsidRPr="00B20B70" w:rsidRDefault="00C83EEA" w:rsidP="009F24E6">
            <w:pPr>
              <w:jc w:val="center"/>
              <w:rPr>
                <w:sz w:val="16"/>
                <w:szCs w:val="16"/>
              </w:rPr>
            </w:pPr>
            <w:r w:rsidRPr="00B20B70">
              <w:rPr>
                <w:sz w:val="16"/>
                <w:szCs w:val="16"/>
              </w:rPr>
              <w:t>64 134</w:t>
            </w:r>
          </w:p>
          <w:p w:rsidR="00C83EEA" w:rsidRPr="00B20B70" w:rsidRDefault="00C83EEA" w:rsidP="009F24E6">
            <w:pPr>
              <w:jc w:val="center"/>
              <w:rPr>
                <w:sz w:val="16"/>
                <w:szCs w:val="16"/>
              </w:rPr>
            </w:pPr>
          </w:p>
        </w:tc>
        <w:tc>
          <w:tcPr>
            <w:tcW w:w="720" w:type="dxa"/>
            <w:shd w:val="clear" w:color="auto" w:fill="auto"/>
            <w:vAlign w:val="center"/>
          </w:tcPr>
          <w:p w:rsidR="00C83EEA" w:rsidRPr="00B20B70" w:rsidRDefault="00C83EEA" w:rsidP="009F24E6">
            <w:pPr>
              <w:ind w:left="-108" w:right="-108"/>
              <w:jc w:val="center"/>
              <w:rPr>
                <w:sz w:val="16"/>
                <w:szCs w:val="16"/>
              </w:rPr>
            </w:pPr>
            <w:r w:rsidRPr="00B20B70">
              <w:rPr>
                <w:sz w:val="16"/>
                <w:szCs w:val="16"/>
              </w:rPr>
              <w:t>+6 221</w:t>
            </w:r>
          </w:p>
          <w:p w:rsidR="00C83EEA" w:rsidRPr="00B20B70" w:rsidRDefault="00C83EEA" w:rsidP="009F24E6">
            <w:pPr>
              <w:jc w:val="center"/>
              <w:rPr>
                <w:sz w:val="16"/>
                <w:szCs w:val="16"/>
              </w:rPr>
            </w:pPr>
            <w:r w:rsidRPr="00B20B70">
              <w:rPr>
                <w:sz w:val="16"/>
                <w:szCs w:val="16"/>
              </w:rPr>
              <w:t>110,7%</w:t>
            </w:r>
          </w:p>
        </w:tc>
        <w:tc>
          <w:tcPr>
            <w:tcW w:w="720" w:type="dxa"/>
            <w:shd w:val="clear" w:color="auto" w:fill="auto"/>
            <w:vAlign w:val="center"/>
          </w:tcPr>
          <w:p w:rsidR="00C83EEA" w:rsidRPr="00B20B70" w:rsidRDefault="00C83EEA" w:rsidP="009F24E6">
            <w:pPr>
              <w:jc w:val="center"/>
              <w:rPr>
                <w:sz w:val="16"/>
                <w:szCs w:val="16"/>
              </w:rPr>
            </w:pPr>
            <w:r w:rsidRPr="00B20B70">
              <w:rPr>
                <w:sz w:val="16"/>
                <w:szCs w:val="16"/>
              </w:rPr>
              <w:t>64 129</w:t>
            </w:r>
          </w:p>
          <w:p w:rsidR="00C83EEA" w:rsidRPr="00B20B70" w:rsidRDefault="00C83EEA" w:rsidP="009F24E6">
            <w:pPr>
              <w:jc w:val="center"/>
              <w:rPr>
                <w:sz w:val="16"/>
                <w:szCs w:val="16"/>
              </w:rPr>
            </w:pPr>
          </w:p>
        </w:tc>
        <w:tc>
          <w:tcPr>
            <w:tcW w:w="720" w:type="dxa"/>
            <w:shd w:val="clear" w:color="auto" w:fill="auto"/>
            <w:vAlign w:val="center"/>
          </w:tcPr>
          <w:p w:rsidR="00C83EEA" w:rsidRPr="00B20B70" w:rsidRDefault="00C83EEA" w:rsidP="009F24E6">
            <w:pPr>
              <w:ind w:right="-108"/>
              <w:jc w:val="center"/>
              <w:rPr>
                <w:sz w:val="16"/>
                <w:szCs w:val="16"/>
              </w:rPr>
            </w:pPr>
            <w:r w:rsidRPr="00B20B70">
              <w:rPr>
                <w:sz w:val="16"/>
                <w:szCs w:val="16"/>
              </w:rPr>
              <w:t>-5</w:t>
            </w:r>
          </w:p>
          <w:p w:rsidR="00C83EEA" w:rsidRPr="00B20B70" w:rsidRDefault="00C83EEA" w:rsidP="009F24E6">
            <w:pPr>
              <w:ind w:right="-108"/>
              <w:jc w:val="center"/>
              <w:rPr>
                <w:sz w:val="16"/>
                <w:szCs w:val="16"/>
              </w:rPr>
            </w:pPr>
            <w:r w:rsidRPr="00B20B70">
              <w:rPr>
                <w:sz w:val="16"/>
                <w:szCs w:val="16"/>
              </w:rPr>
              <w:t>100%</w:t>
            </w:r>
          </w:p>
        </w:tc>
        <w:tc>
          <w:tcPr>
            <w:tcW w:w="720" w:type="dxa"/>
            <w:shd w:val="clear" w:color="auto" w:fill="auto"/>
            <w:vAlign w:val="center"/>
          </w:tcPr>
          <w:p w:rsidR="00C83EEA" w:rsidRPr="00B20B70" w:rsidRDefault="00C83EEA" w:rsidP="009F24E6">
            <w:pPr>
              <w:jc w:val="center"/>
              <w:rPr>
                <w:sz w:val="16"/>
                <w:szCs w:val="16"/>
              </w:rPr>
            </w:pPr>
            <w:r w:rsidRPr="00B20B70">
              <w:rPr>
                <w:sz w:val="16"/>
                <w:szCs w:val="16"/>
              </w:rPr>
              <w:t>64 129</w:t>
            </w:r>
          </w:p>
          <w:p w:rsidR="00C83EEA" w:rsidRPr="00B20B70" w:rsidRDefault="00C83EEA" w:rsidP="009F24E6">
            <w:pPr>
              <w:jc w:val="center"/>
              <w:rPr>
                <w:sz w:val="16"/>
                <w:szCs w:val="16"/>
              </w:rPr>
            </w:pPr>
          </w:p>
        </w:tc>
        <w:tc>
          <w:tcPr>
            <w:tcW w:w="720" w:type="dxa"/>
            <w:shd w:val="clear" w:color="auto" w:fill="auto"/>
            <w:vAlign w:val="center"/>
          </w:tcPr>
          <w:p w:rsidR="00C83EEA" w:rsidRPr="00B20B70" w:rsidRDefault="00C83EEA" w:rsidP="009F24E6">
            <w:pPr>
              <w:ind w:right="-108"/>
              <w:jc w:val="center"/>
              <w:rPr>
                <w:sz w:val="16"/>
                <w:szCs w:val="16"/>
              </w:rPr>
            </w:pPr>
            <w:r w:rsidRPr="00B20B70">
              <w:rPr>
                <w:sz w:val="16"/>
                <w:szCs w:val="16"/>
              </w:rPr>
              <w:t>-</w:t>
            </w:r>
          </w:p>
          <w:p w:rsidR="00C83EEA" w:rsidRPr="00B20B70" w:rsidRDefault="00C83EEA" w:rsidP="009F24E6">
            <w:pPr>
              <w:jc w:val="center"/>
              <w:rPr>
                <w:sz w:val="16"/>
                <w:szCs w:val="16"/>
              </w:rPr>
            </w:pPr>
            <w:r w:rsidRPr="00B20B70">
              <w:rPr>
                <w:sz w:val="16"/>
                <w:szCs w:val="16"/>
              </w:rPr>
              <w:t>100%</w:t>
            </w:r>
          </w:p>
        </w:tc>
      </w:tr>
      <w:tr w:rsidR="00C83EEA" w:rsidRPr="00B20B70" w:rsidTr="009F24E6">
        <w:tc>
          <w:tcPr>
            <w:tcW w:w="2628" w:type="dxa"/>
            <w:shd w:val="clear" w:color="auto" w:fill="auto"/>
          </w:tcPr>
          <w:p w:rsidR="00C83EEA" w:rsidRPr="00B20B70" w:rsidRDefault="00C83EEA" w:rsidP="009F24E6">
            <w:pPr>
              <w:rPr>
                <w:sz w:val="16"/>
                <w:szCs w:val="16"/>
              </w:rPr>
            </w:pPr>
            <w:r w:rsidRPr="00B20B70">
              <w:rPr>
                <w:sz w:val="16"/>
                <w:szCs w:val="16"/>
              </w:rPr>
              <w:t xml:space="preserve">     гос. </w:t>
            </w:r>
            <w:proofErr w:type="spellStart"/>
            <w:r w:rsidRPr="00B20B70">
              <w:rPr>
                <w:sz w:val="16"/>
                <w:szCs w:val="16"/>
              </w:rPr>
              <w:t>собст-ть</w:t>
            </w:r>
            <w:proofErr w:type="spellEnd"/>
            <w:r w:rsidRPr="00B20B70">
              <w:rPr>
                <w:sz w:val="16"/>
                <w:szCs w:val="16"/>
              </w:rPr>
              <w:t xml:space="preserve"> на которые не разграничена</w:t>
            </w:r>
          </w:p>
        </w:tc>
        <w:tc>
          <w:tcPr>
            <w:tcW w:w="720" w:type="dxa"/>
            <w:shd w:val="clear" w:color="auto" w:fill="auto"/>
            <w:vAlign w:val="center"/>
          </w:tcPr>
          <w:p w:rsidR="00C83EEA" w:rsidRPr="00B20B70" w:rsidRDefault="00C83EEA" w:rsidP="009F24E6">
            <w:pPr>
              <w:ind w:left="-108"/>
              <w:jc w:val="right"/>
              <w:rPr>
                <w:sz w:val="16"/>
                <w:szCs w:val="16"/>
              </w:rPr>
            </w:pPr>
            <w:r w:rsidRPr="00B20B70">
              <w:rPr>
                <w:sz w:val="16"/>
                <w:szCs w:val="16"/>
              </w:rPr>
              <w:t>81 720</w:t>
            </w:r>
          </w:p>
        </w:tc>
        <w:tc>
          <w:tcPr>
            <w:tcW w:w="720" w:type="dxa"/>
            <w:shd w:val="clear" w:color="auto" w:fill="auto"/>
            <w:vAlign w:val="center"/>
          </w:tcPr>
          <w:p w:rsidR="00C83EEA" w:rsidRPr="00B20B70" w:rsidRDefault="00C83EEA" w:rsidP="009F24E6">
            <w:pPr>
              <w:jc w:val="center"/>
              <w:rPr>
                <w:sz w:val="16"/>
                <w:szCs w:val="16"/>
              </w:rPr>
            </w:pPr>
            <w:r w:rsidRPr="00B20B70">
              <w:rPr>
                <w:sz w:val="16"/>
                <w:szCs w:val="16"/>
              </w:rPr>
              <w:t>64 418</w:t>
            </w:r>
          </w:p>
        </w:tc>
        <w:tc>
          <w:tcPr>
            <w:tcW w:w="1080" w:type="dxa"/>
            <w:shd w:val="clear" w:color="auto" w:fill="auto"/>
            <w:vAlign w:val="center"/>
          </w:tcPr>
          <w:p w:rsidR="00C83EEA" w:rsidRPr="00B20B70" w:rsidRDefault="00C83EEA" w:rsidP="009F24E6">
            <w:pPr>
              <w:jc w:val="center"/>
              <w:rPr>
                <w:sz w:val="16"/>
                <w:szCs w:val="16"/>
              </w:rPr>
            </w:pPr>
            <w:r w:rsidRPr="00B20B70">
              <w:rPr>
                <w:sz w:val="16"/>
                <w:szCs w:val="16"/>
              </w:rPr>
              <w:t>42 447</w:t>
            </w:r>
          </w:p>
          <w:p w:rsidR="00C83EEA" w:rsidRPr="00B20B70" w:rsidRDefault="00C83EEA" w:rsidP="009F24E6">
            <w:pPr>
              <w:jc w:val="center"/>
              <w:rPr>
                <w:sz w:val="16"/>
                <w:szCs w:val="16"/>
              </w:rPr>
            </w:pPr>
            <w:r w:rsidRPr="00B20B70">
              <w:rPr>
                <w:sz w:val="16"/>
                <w:szCs w:val="16"/>
              </w:rPr>
              <w:t>65,9%</w:t>
            </w:r>
          </w:p>
        </w:tc>
        <w:tc>
          <w:tcPr>
            <w:tcW w:w="720" w:type="dxa"/>
            <w:shd w:val="clear" w:color="auto" w:fill="auto"/>
            <w:vAlign w:val="center"/>
          </w:tcPr>
          <w:p w:rsidR="00C83EEA" w:rsidRPr="00B20B70" w:rsidRDefault="00C83EEA" w:rsidP="009F24E6">
            <w:pPr>
              <w:jc w:val="center"/>
              <w:rPr>
                <w:sz w:val="16"/>
                <w:szCs w:val="16"/>
              </w:rPr>
            </w:pPr>
            <w:r w:rsidRPr="00B20B70">
              <w:rPr>
                <w:sz w:val="16"/>
                <w:szCs w:val="16"/>
              </w:rPr>
              <w:t>64 134</w:t>
            </w:r>
          </w:p>
          <w:p w:rsidR="00C83EEA" w:rsidRPr="00B20B70" w:rsidRDefault="00C83EEA" w:rsidP="009F24E6">
            <w:pPr>
              <w:ind w:left="-108"/>
              <w:jc w:val="right"/>
              <w:rPr>
                <w:sz w:val="16"/>
                <w:szCs w:val="16"/>
              </w:rPr>
            </w:pPr>
          </w:p>
        </w:tc>
        <w:tc>
          <w:tcPr>
            <w:tcW w:w="720" w:type="dxa"/>
            <w:shd w:val="clear" w:color="auto" w:fill="auto"/>
            <w:vAlign w:val="center"/>
          </w:tcPr>
          <w:p w:rsidR="00C83EEA" w:rsidRPr="00B20B70" w:rsidRDefault="00C83EEA" w:rsidP="009F24E6">
            <w:pPr>
              <w:ind w:left="-108" w:right="-108"/>
              <w:jc w:val="center"/>
              <w:rPr>
                <w:sz w:val="16"/>
                <w:szCs w:val="16"/>
              </w:rPr>
            </w:pPr>
            <w:r w:rsidRPr="00B20B70">
              <w:rPr>
                <w:sz w:val="16"/>
                <w:szCs w:val="16"/>
              </w:rPr>
              <w:t>+21 687</w:t>
            </w:r>
          </w:p>
          <w:p w:rsidR="00C83EEA" w:rsidRPr="00B20B70" w:rsidRDefault="00C83EEA" w:rsidP="009F24E6">
            <w:pPr>
              <w:jc w:val="center"/>
              <w:rPr>
                <w:sz w:val="16"/>
                <w:szCs w:val="16"/>
              </w:rPr>
            </w:pPr>
            <w:r w:rsidRPr="00B20B70">
              <w:rPr>
                <w:sz w:val="16"/>
                <w:szCs w:val="16"/>
              </w:rPr>
              <w:t>151,1%</w:t>
            </w:r>
          </w:p>
        </w:tc>
        <w:tc>
          <w:tcPr>
            <w:tcW w:w="720" w:type="dxa"/>
            <w:shd w:val="clear" w:color="auto" w:fill="auto"/>
            <w:vAlign w:val="center"/>
          </w:tcPr>
          <w:p w:rsidR="00C83EEA" w:rsidRPr="00B20B70" w:rsidRDefault="00C83EEA" w:rsidP="009F24E6">
            <w:pPr>
              <w:jc w:val="center"/>
              <w:rPr>
                <w:sz w:val="16"/>
                <w:szCs w:val="16"/>
              </w:rPr>
            </w:pPr>
            <w:r w:rsidRPr="00B20B70">
              <w:rPr>
                <w:sz w:val="16"/>
                <w:szCs w:val="16"/>
              </w:rPr>
              <w:t>64 129</w:t>
            </w:r>
          </w:p>
          <w:p w:rsidR="00C83EEA" w:rsidRPr="00B20B70" w:rsidRDefault="00C83EEA" w:rsidP="009F24E6">
            <w:pPr>
              <w:ind w:left="-108"/>
              <w:jc w:val="right"/>
              <w:rPr>
                <w:sz w:val="16"/>
                <w:szCs w:val="16"/>
              </w:rPr>
            </w:pPr>
          </w:p>
        </w:tc>
        <w:tc>
          <w:tcPr>
            <w:tcW w:w="720" w:type="dxa"/>
            <w:shd w:val="clear" w:color="auto" w:fill="auto"/>
            <w:vAlign w:val="center"/>
          </w:tcPr>
          <w:p w:rsidR="00C83EEA" w:rsidRPr="00B20B70" w:rsidRDefault="00C83EEA" w:rsidP="009F24E6">
            <w:pPr>
              <w:ind w:right="-108"/>
              <w:jc w:val="center"/>
              <w:rPr>
                <w:sz w:val="16"/>
                <w:szCs w:val="16"/>
              </w:rPr>
            </w:pPr>
            <w:r w:rsidRPr="00B20B70">
              <w:rPr>
                <w:sz w:val="16"/>
                <w:szCs w:val="16"/>
              </w:rPr>
              <w:t>-5</w:t>
            </w:r>
          </w:p>
          <w:p w:rsidR="00C83EEA" w:rsidRPr="00B20B70" w:rsidRDefault="00C83EEA" w:rsidP="009F24E6">
            <w:pPr>
              <w:ind w:right="-108"/>
              <w:jc w:val="center"/>
              <w:rPr>
                <w:sz w:val="16"/>
                <w:szCs w:val="16"/>
              </w:rPr>
            </w:pPr>
            <w:r w:rsidRPr="00B20B70">
              <w:rPr>
                <w:sz w:val="16"/>
                <w:szCs w:val="16"/>
              </w:rPr>
              <w:t>100%</w:t>
            </w:r>
          </w:p>
        </w:tc>
        <w:tc>
          <w:tcPr>
            <w:tcW w:w="720" w:type="dxa"/>
            <w:shd w:val="clear" w:color="auto" w:fill="auto"/>
            <w:vAlign w:val="center"/>
          </w:tcPr>
          <w:p w:rsidR="00C83EEA" w:rsidRPr="00B20B70" w:rsidRDefault="00C83EEA" w:rsidP="009F24E6">
            <w:pPr>
              <w:jc w:val="center"/>
              <w:rPr>
                <w:sz w:val="16"/>
                <w:szCs w:val="16"/>
              </w:rPr>
            </w:pPr>
            <w:r w:rsidRPr="00B20B70">
              <w:rPr>
                <w:sz w:val="16"/>
                <w:szCs w:val="16"/>
              </w:rPr>
              <w:t>64 129</w:t>
            </w:r>
          </w:p>
          <w:p w:rsidR="00C83EEA" w:rsidRPr="00B20B70" w:rsidRDefault="00C83EEA" w:rsidP="009F24E6">
            <w:pPr>
              <w:ind w:left="-108"/>
              <w:jc w:val="right"/>
              <w:rPr>
                <w:sz w:val="16"/>
                <w:szCs w:val="16"/>
              </w:rPr>
            </w:pPr>
          </w:p>
        </w:tc>
        <w:tc>
          <w:tcPr>
            <w:tcW w:w="720" w:type="dxa"/>
            <w:shd w:val="clear" w:color="auto" w:fill="auto"/>
            <w:vAlign w:val="center"/>
          </w:tcPr>
          <w:p w:rsidR="00C83EEA" w:rsidRPr="00B20B70" w:rsidRDefault="00C83EEA" w:rsidP="009F24E6">
            <w:pPr>
              <w:jc w:val="center"/>
              <w:rPr>
                <w:sz w:val="16"/>
                <w:szCs w:val="16"/>
              </w:rPr>
            </w:pPr>
            <w:r w:rsidRPr="00B20B70">
              <w:rPr>
                <w:sz w:val="16"/>
                <w:szCs w:val="16"/>
              </w:rPr>
              <w:t>-</w:t>
            </w:r>
          </w:p>
          <w:p w:rsidR="00C83EEA" w:rsidRPr="00B20B70" w:rsidRDefault="00C83EEA" w:rsidP="009F24E6">
            <w:pPr>
              <w:jc w:val="center"/>
              <w:rPr>
                <w:sz w:val="16"/>
                <w:szCs w:val="16"/>
              </w:rPr>
            </w:pPr>
            <w:r w:rsidRPr="00B20B70">
              <w:rPr>
                <w:sz w:val="16"/>
                <w:szCs w:val="16"/>
              </w:rPr>
              <w:t>100%</w:t>
            </w:r>
          </w:p>
        </w:tc>
      </w:tr>
      <w:tr w:rsidR="00C83EEA" w:rsidRPr="00B20B70" w:rsidTr="009F24E6">
        <w:tc>
          <w:tcPr>
            <w:tcW w:w="2628" w:type="dxa"/>
            <w:shd w:val="clear" w:color="auto" w:fill="auto"/>
          </w:tcPr>
          <w:p w:rsidR="00C83EEA" w:rsidRPr="00B20B70" w:rsidRDefault="00C83EEA" w:rsidP="009F24E6">
            <w:pPr>
              <w:rPr>
                <w:sz w:val="16"/>
                <w:szCs w:val="16"/>
              </w:rPr>
            </w:pPr>
            <w:r w:rsidRPr="00B20B70">
              <w:rPr>
                <w:sz w:val="16"/>
                <w:szCs w:val="16"/>
              </w:rPr>
              <w:t xml:space="preserve">     </w:t>
            </w:r>
            <w:proofErr w:type="gramStart"/>
            <w:r w:rsidRPr="00B20B70">
              <w:rPr>
                <w:sz w:val="16"/>
                <w:szCs w:val="16"/>
              </w:rPr>
              <w:t>находящихся</w:t>
            </w:r>
            <w:proofErr w:type="gramEnd"/>
            <w:r w:rsidRPr="00B20B70">
              <w:rPr>
                <w:sz w:val="16"/>
                <w:szCs w:val="16"/>
              </w:rPr>
              <w:t xml:space="preserve"> в собственности</w:t>
            </w:r>
            <w:r>
              <w:rPr>
                <w:sz w:val="16"/>
                <w:szCs w:val="16"/>
              </w:rPr>
              <w:t xml:space="preserve"> Томской области</w:t>
            </w:r>
          </w:p>
        </w:tc>
        <w:tc>
          <w:tcPr>
            <w:tcW w:w="720" w:type="dxa"/>
            <w:shd w:val="clear" w:color="auto" w:fill="auto"/>
            <w:vAlign w:val="center"/>
          </w:tcPr>
          <w:p w:rsidR="00C83EEA" w:rsidRPr="00B20B70" w:rsidRDefault="00C83EEA" w:rsidP="009F24E6">
            <w:pPr>
              <w:jc w:val="center"/>
              <w:rPr>
                <w:sz w:val="16"/>
                <w:szCs w:val="16"/>
              </w:rPr>
            </w:pPr>
            <w:r w:rsidRPr="00B20B70">
              <w:rPr>
                <w:sz w:val="16"/>
                <w:szCs w:val="16"/>
              </w:rPr>
              <w:t>384</w:t>
            </w:r>
          </w:p>
        </w:tc>
        <w:tc>
          <w:tcPr>
            <w:tcW w:w="720" w:type="dxa"/>
            <w:shd w:val="clear" w:color="auto" w:fill="auto"/>
            <w:vAlign w:val="center"/>
          </w:tcPr>
          <w:p w:rsidR="00C83EEA" w:rsidRPr="00B20B70" w:rsidRDefault="00C83EEA" w:rsidP="009F24E6">
            <w:pPr>
              <w:jc w:val="center"/>
              <w:rPr>
                <w:sz w:val="16"/>
                <w:szCs w:val="16"/>
              </w:rPr>
            </w:pPr>
            <w:r w:rsidRPr="00B20B70">
              <w:rPr>
                <w:sz w:val="16"/>
                <w:szCs w:val="16"/>
              </w:rPr>
              <w:t>24 873</w:t>
            </w:r>
          </w:p>
        </w:tc>
        <w:tc>
          <w:tcPr>
            <w:tcW w:w="1080" w:type="dxa"/>
            <w:shd w:val="clear" w:color="auto" w:fill="auto"/>
            <w:vAlign w:val="center"/>
          </w:tcPr>
          <w:p w:rsidR="00C83EEA" w:rsidRPr="00B20B70" w:rsidRDefault="00C83EEA" w:rsidP="009F24E6">
            <w:pPr>
              <w:jc w:val="center"/>
              <w:rPr>
                <w:sz w:val="16"/>
                <w:szCs w:val="16"/>
              </w:rPr>
            </w:pPr>
            <w:r w:rsidRPr="00B20B70">
              <w:rPr>
                <w:sz w:val="16"/>
                <w:szCs w:val="16"/>
              </w:rPr>
              <w:t>15 466</w:t>
            </w:r>
          </w:p>
          <w:p w:rsidR="00C83EEA" w:rsidRPr="00B20B70" w:rsidRDefault="00C83EEA" w:rsidP="009F24E6">
            <w:pPr>
              <w:jc w:val="center"/>
              <w:rPr>
                <w:sz w:val="16"/>
                <w:szCs w:val="16"/>
              </w:rPr>
            </w:pPr>
            <w:r w:rsidRPr="00B20B70">
              <w:rPr>
                <w:sz w:val="16"/>
                <w:szCs w:val="16"/>
              </w:rPr>
              <w:t>62,2%</w:t>
            </w:r>
          </w:p>
        </w:tc>
        <w:tc>
          <w:tcPr>
            <w:tcW w:w="720" w:type="dxa"/>
            <w:shd w:val="clear" w:color="auto" w:fill="auto"/>
            <w:vAlign w:val="center"/>
          </w:tcPr>
          <w:p w:rsidR="00C83EEA" w:rsidRPr="00B20B70" w:rsidRDefault="00C83EEA" w:rsidP="009F24E6">
            <w:pPr>
              <w:jc w:val="center"/>
              <w:rPr>
                <w:sz w:val="16"/>
                <w:szCs w:val="16"/>
              </w:rPr>
            </w:pPr>
            <w:r>
              <w:rPr>
                <w:sz w:val="16"/>
                <w:szCs w:val="16"/>
              </w:rPr>
              <w:t>-</w:t>
            </w:r>
          </w:p>
        </w:tc>
        <w:tc>
          <w:tcPr>
            <w:tcW w:w="720" w:type="dxa"/>
            <w:shd w:val="clear" w:color="auto" w:fill="auto"/>
            <w:vAlign w:val="center"/>
          </w:tcPr>
          <w:p w:rsidR="00C83EEA" w:rsidRPr="00B20B70" w:rsidRDefault="00C83EEA" w:rsidP="009F24E6">
            <w:pPr>
              <w:jc w:val="center"/>
              <w:rPr>
                <w:sz w:val="16"/>
                <w:szCs w:val="16"/>
              </w:rPr>
            </w:pPr>
            <w:r w:rsidRPr="00B20B70">
              <w:rPr>
                <w:sz w:val="16"/>
                <w:szCs w:val="16"/>
              </w:rPr>
              <w:t>-15 466</w:t>
            </w:r>
          </w:p>
        </w:tc>
        <w:tc>
          <w:tcPr>
            <w:tcW w:w="720" w:type="dxa"/>
            <w:shd w:val="clear" w:color="auto" w:fill="auto"/>
            <w:vAlign w:val="center"/>
          </w:tcPr>
          <w:p w:rsidR="00C83EEA" w:rsidRPr="00B20B70" w:rsidRDefault="00C83EEA" w:rsidP="009F24E6">
            <w:pPr>
              <w:jc w:val="center"/>
              <w:rPr>
                <w:sz w:val="16"/>
                <w:szCs w:val="16"/>
              </w:rPr>
            </w:pPr>
            <w:r>
              <w:rPr>
                <w:sz w:val="16"/>
                <w:szCs w:val="16"/>
              </w:rPr>
              <w:t>-</w:t>
            </w:r>
          </w:p>
        </w:tc>
        <w:tc>
          <w:tcPr>
            <w:tcW w:w="720" w:type="dxa"/>
            <w:shd w:val="clear" w:color="auto" w:fill="auto"/>
            <w:vAlign w:val="center"/>
          </w:tcPr>
          <w:p w:rsidR="00C83EEA" w:rsidRPr="00B20B70" w:rsidRDefault="00C83EEA" w:rsidP="009F24E6">
            <w:pPr>
              <w:jc w:val="center"/>
              <w:rPr>
                <w:sz w:val="16"/>
                <w:szCs w:val="16"/>
              </w:rPr>
            </w:pPr>
          </w:p>
        </w:tc>
        <w:tc>
          <w:tcPr>
            <w:tcW w:w="720" w:type="dxa"/>
            <w:shd w:val="clear" w:color="auto" w:fill="auto"/>
            <w:vAlign w:val="center"/>
          </w:tcPr>
          <w:p w:rsidR="00C83EEA" w:rsidRPr="00B20B70" w:rsidRDefault="00C83EEA" w:rsidP="009F24E6">
            <w:pPr>
              <w:jc w:val="center"/>
              <w:rPr>
                <w:sz w:val="16"/>
                <w:szCs w:val="16"/>
              </w:rPr>
            </w:pPr>
            <w:r>
              <w:rPr>
                <w:sz w:val="16"/>
                <w:szCs w:val="16"/>
              </w:rPr>
              <w:t>-</w:t>
            </w:r>
          </w:p>
        </w:tc>
        <w:tc>
          <w:tcPr>
            <w:tcW w:w="720" w:type="dxa"/>
            <w:shd w:val="clear" w:color="auto" w:fill="auto"/>
            <w:vAlign w:val="center"/>
          </w:tcPr>
          <w:p w:rsidR="00C83EEA" w:rsidRPr="00B20B70" w:rsidRDefault="00C83EEA" w:rsidP="009F24E6">
            <w:pPr>
              <w:jc w:val="center"/>
              <w:rPr>
                <w:sz w:val="16"/>
                <w:szCs w:val="16"/>
              </w:rPr>
            </w:pPr>
          </w:p>
        </w:tc>
      </w:tr>
    </w:tbl>
    <w:p w:rsidR="00C83EEA" w:rsidRDefault="00C83EEA" w:rsidP="00C83EEA">
      <w:pPr>
        <w:tabs>
          <w:tab w:val="left" w:pos="720"/>
        </w:tabs>
        <w:autoSpaceDE w:val="0"/>
        <w:autoSpaceDN w:val="0"/>
        <w:adjustRightInd w:val="0"/>
        <w:ind w:left="720"/>
        <w:jc w:val="both"/>
        <w:rPr>
          <w:sz w:val="20"/>
          <w:szCs w:val="20"/>
          <w:highlight w:val="yellow"/>
        </w:rPr>
      </w:pPr>
    </w:p>
    <w:p w:rsidR="00C83EEA" w:rsidRDefault="00C83EEA" w:rsidP="00C83EEA">
      <w:pPr>
        <w:autoSpaceDE w:val="0"/>
        <w:autoSpaceDN w:val="0"/>
        <w:adjustRightInd w:val="0"/>
        <w:jc w:val="both"/>
      </w:pPr>
      <w:r>
        <w:tab/>
        <w:t>В материалах к законопроекту о</w:t>
      </w:r>
      <w:r w:rsidRPr="00432814">
        <w:t>жидаемое исполнение за 2012 год по доход</w:t>
      </w:r>
      <w:r>
        <w:t>ам</w:t>
      </w:r>
      <w:r w:rsidRPr="00432814">
        <w:t xml:space="preserve"> </w:t>
      </w:r>
      <w:r w:rsidRPr="00D03672">
        <w:t>от реализации имущества, находящегося в собственности Том</w:t>
      </w:r>
      <w:r>
        <w:t xml:space="preserve">ской области, предусмотрено в сумме </w:t>
      </w:r>
      <w:r>
        <w:rPr>
          <w:snapToGrid w:val="0"/>
        </w:rPr>
        <w:t xml:space="preserve">32 695 </w:t>
      </w:r>
      <w:proofErr w:type="spellStart"/>
      <w:r>
        <w:rPr>
          <w:snapToGrid w:val="0"/>
        </w:rPr>
        <w:t>тыс</w:t>
      </w:r>
      <w:proofErr w:type="gramStart"/>
      <w:r>
        <w:rPr>
          <w:snapToGrid w:val="0"/>
        </w:rPr>
        <w:t>.</w:t>
      </w:r>
      <w:r w:rsidRPr="00432814">
        <w:rPr>
          <w:snapToGrid w:val="0"/>
        </w:rPr>
        <w:t>р</w:t>
      </w:r>
      <w:proofErr w:type="gramEnd"/>
      <w:r w:rsidRPr="00432814">
        <w:rPr>
          <w:snapToGrid w:val="0"/>
        </w:rPr>
        <w:t>уб</w:t>
      </w:r>
      <w:proofErr w:type="spellEnd"/>
      <w:r w:rsidRPr="00432814">
        <w:rPr>
          <w:snapToGrid w:val="0"/>
        </w:rPr>
        <w:t xml:space="preserve">. </w:t>
      </w:r>
      <w:r>
        <w:rPr>
          <w:snapToGrid w:val="0"/>
        </w:rPr>
        <w:t>(</w:t>
      </w:r>
      <w:r>
        <w:t>43</w:t>
      </w:r>
      <w:r w:rsidRPr="00432814">
        <w:t xml:space="preserve">% </w:t>
      </w:r>
      <w:r>
        <w:t>от</w:t>
      </w:r>
      <w:r w:rsidRPr="00432814">
        <w:t xml:space="preserve"> план</w:t>
      </w:r>
      <w:r>
        <w:t>а),</w:t>
      </w:r>
      <w:r w:rsidRPr="008829BF">
        <w:t xml:space="preserve"> по доходам от продажи земельных участков, находящи</w:t>
      </w:r>
      <w:r w:rsidRPr="008829BF">
        <w:t>х</w:t>
      </w:r>
      <w:r w:rsidRPr="008829BF">
        <w:t xml:space="preserve">ся в собственности Томской области </w:t>
      </w:r>
      <w:r>
        <w:t xml:space="preserve">- 15 466 </w:t>
      </w:r>
      <w:proofErr w:type="spellStart"/>
      <w:r>
        <w:t>тыс.</w:t>
      </w:r>
      <w:r w:rsidRPr="008829BF">
        <w:t>руб</w:t>
      </w:r>
      <w:proofErr w:type="spellEnd"/>
      <w:r w:rsidRPr="008829BF">
        <w:t xml:space="preserve">. </w:t>
      </w:r>
      <w:r>
        <w:t xml:space="preserve">(62% от плана). </w:t>
      </w:r>
      <w:r w:rsidRPr="00432814">
        <w:rPr>
          <w:snapToGrid w:val="0"/>
        </w:rPr>
        <w:t>По уточненной оценке</w:t>
      </w:r>
      <w:r>
        <w:rPr>
          <w:snapToGrid w:val="0"/>
        </w:rPr>
        <w:t xml:space="preserve"> Контрольно-счетной палаты</w:t>
      </w:r>
      <w:r w:rsidRPr="00432814">
        <w:rPr>
          <w:snapToGrid w:val="0"/>
        </w:rPr>
        <w:t xml:space="preserve"> ожидаемое поступление </w:t>
      </w:r>
      <w:r>
        <w:rPr>
          <w:snapToGrid w:val="0"/>
        </w:rPr>
        <w:t xml:space="preserve">указанных доходов </w:t>
      </w:r>
      <w:r w:rsidRPr="00432814">
        <w:rPr>
          <w:snapToGrid w:val="0"/>
        </w:rPr>
        <w:t>может составить</w:t>
      </w:r>
      <w:r w:rsidRPr="00432814">
        <w:t xml:space="preserve"> </w:t>
      </w:r>
      <w:r>
        <w:t>соответственно 3,3</w:t>
      </w:r>
      <w:r w:rsidRPr="00432814">
        <w:t xml:space="preserve"> </w:t>
      </w:r>
      <w:proofErr w:type="spellStart"/>
      <w:r>
        <w:t>млн</w:t>
      </w:r>
      <w:proofErr w:type="gramStart"/>
      <w:r>
        <w:t>.р</w:t>
      </w:r>
      <w:proofErr w:type="gramEnd"/>
      <w:r w:rsidRPr="00432814">
        <w:t>уб</w:t>
      </w:r>
      <w:proofErr w:type="spellEnd"/>
      <w:r w:rsidRPr="00432814">
        <w:t>.</w:t>
      </w:r>
      <w:r>
        <w:t xml:space="preserve"> и 4,0 </w:t>
      </w:r>
      <w:proofErr w:type="spellStart"/>
      <w:r>
        <w:t>млн.руб</w:t>
      </w:r>
      <w:proofErr w:type="spellEnd"/>
      <w:r>
        <w:t>. в связи с тем, что три из шести проданных объектов</w:t>
      </w:r>
      <w:r w:rsidRPr="00432814">
        <w:t xml:space="preserve"> </w:t>
      </w:r>
      <w:r>
        <w:t>приватизации реализованы путем публичного предложения (50% от начальной цены), продажа остальных объектов приватизации в текущем году может не состояться в связи с отсутствием заявок на их приобр</w:t>
      </w:r>
      <w:r>
        <w:t>е</w:t>
      </w:r>
      <w:r>
        <w:t xml:space="preserve">тение. </w:t>
      </w:r>
    </w:p>
    <w:p w:rsidR="00C83EEA" w:rsidRDefault="00C83EEA" w:rsidP="00C83EEA">
      <w:pPr>
        <w:tabs>
          <w:tab w:val="left" w:pos="900"/>
        </w:tabs>
        <w:autoSpaceDE w:val="0"/>
        <w:autoSpaceDN w:val="0"/>
        <w:adjustRightInd w:val="0"/>
        <w:ind w:firstLine="720"/>
        <w:jc w:val="both"/>
      </w:pPr>
      <w:r>
        <w:t xml:space="preserve">Объем доходов </w:t>
      </w:r>
      <w:r w:rsidRPr="00D03672">
        <w:t>от реализации имущества, находящегося в собственности То</w:t>
      </w:r>
      <w:r w:rsidRPr="00D03672">
        <w:t>м</w:t>
      </w:r>
      <w:r>
        <w:t xml:space="preserve">ской области, прогнозируется лишь на 2013 год в сумме 9 534 </w:t>
      </w:r>
      <w:proofErr w:type="spellStart"/>
      <w:r>
        <w:t>тыс</w:t>
      </w:r>
      <w:proofErr w:type="gramStart"/>
      <w:r>
        <w:t>.р</w:t>
      </w:r>
      <w:proofErr w:type="gramEnd"/>
      <w:r>
        <w:t>уб</w:t>
      </w:r>
      <w:proofErr w:type="spellEnd"/>
      <w:r>
        <w:t xml:space="preserve">. (2014, </w:t>
      </w:r>
      <w:smartTag w:uri="urn:schemas-microsoft-com:office:smarttags" w:element="metricconverter">
        <w:smartTagPr>
          <w:attr w:name="ProductID" w:val="2015 г"/>
        </w:smartTagPr>
        <w:r>
          <w:t xml:space="preserve">2015 </w:t>
        </w:r>
        <w:proofErr w:type="spellStart"/>
        <w:r>
          <w:t>г</w:t>
        </w:r>
      </w:smartTag>
      <w:r>
        <w:t>.г</w:t>
      </w:r>
      <w:proofErr w:type="spellEnd"/>
      <w:r>
        <w:t>. - 0). Д</w:t>
      </w:r>
      <w:r>
        <w:t>о</w:t>
      </w:r>
      <w:r>
        <w:t xml:space="preserve">ходы </w:t>
      </w:r>
      <w:r w:rsidRPr="008829BF">
        <w:t>от продажи земельных участков, находящихся в собственности Томской области</w:t>
      </w:r>
      <w:r>
        <w:t>, на 2013-2015 годы также не прогнозируются. Указанные показатели необходимо уточнить в сторону увеличения (по причинам, изложенным в разделе «</w:t>
      </w:r>
      <w:r w:rsidRPr="00B1027C">
        <w:t>Прогнозны</w:t>
      </w:r>
      <w:r>
        <w:t>й</w:t>
      </w:r>
      <w:r w:rsidRPr="00B1027C">
        <w:t xml:space="preserve"> план (програ</w:t>
      </w:r>
      <w:r w:rsidRPr="00B1027C">
        <w:t>м</w:t>
      </w:r>
      <w:r w:rsidRPr="00B1027C">
        <w:t>м</w:t>
      </w:r>
      <w:r>
        <w:t>а</w:t>
      </w:r>
      <w:r w:rsidRPr="00B1027C">
        <w:t>) приватизации государственного имущества Томской области</w:t>
      </w:r>
      <w:r w:rsidRPr="00D94435">
        <w:rPr>
          <w:b/>
        </w:rPr>
        <w:t xml:space="preserve"> </w:t>
      </w:r>
      <w:r w:rsidRPr="00D94435">
        <w:t>на 2013 год и на план</w:t>
      </w:r>
      <w:r w:rsidRPr="00D94435">
        <w:t>о</w:t>
      </w:r>
      <w:r w:rsidRPr="00D94435">
        <w:t>вый период 2014 и 2015 годов</w:t>
      </w:r>
      <w:r>
        <w:t xml:space="preserve">»). </w:t>
      </w:r>
    </w:p>
    <w:p w:rsidR="00C83EEA" w:rsidRDefault="00C83EEA" w:rsidP="00C83EEA">
      <w:pPr>
        <w:tabs>
          <w:tab w:val="left" w:pos="900"/>
        </w:tabs>
        <w:autoSpaceDE w:val="0"/>
        <w:autoSpaceDN w:val="0"/>
        <w:adjustRightInd w:val="0"/>
        <w:ind w:firstLine="720"/>
        <w:jc w:val="both"/>
      </w:pPr>
      <w:r>
        <w:lastRenderedPageBreak/>
        <w:t>Кроме того, следует учесть, что в Казне Томской области</w:t>
      </w:r>
      <w:r w:rsidRPr="008829BF">
        <w:t xml:space="preserve"> </w:t>
      </w:r>
      <w:r>
        <w:t xml:space="preserve">имеется более 30 </w:t>
      </w:r>
      <w:r w:rsidRPr="008829BF">
        <w:t>земел</w:t>
      </w:r>
      <w:r w:rsidRPr="008829BF">
        <w:t>ь</w:t>
      </w:r>
      <w:r w:rsidRPr="008829BF">
        <w:t>ны</w:t>
      </w:r>
      <w:r>
        <w:t>х</w:t>
      </w:r>
      <w:r w:rsidRPr="008829BF">
        <w:t xml:space="preserve"> участк</w:t>
      </w:r>
      <w:r>
        <w:t xml:space="preserve">ов </w:t>
      </w:r>
      <w:r w:rsidRPr="008829BF">
        <w:t xml:space="preserve">общей площадью </w:t>
      </w:r>
      <w:smartTag w:uri="urn:schemas-microsoft-com:office:smarttags" w:element="metricconverter">
        <w:smartTagPr>
          <w:attr w:name="ProductID" w:val="40,5 га"/>
        </w:smartTagPr>
        <w:r>
          <w:t>40,5 га</w:t>
        </w:r>
      </w:smartTag>
      <w:r>
        <w:t xml:space="preserve">, а также 2,2 </w:t>
      </w:r>
      <w:proofErr w:type="spellStart"/>
      <w:r>
        <w:t>тыс</w:t>
      </w:r>
      <w:proofErr w:type="gramStart"/>
      <w:r>
        <w:t>.г</w:t>
      </w:r>
      <w:proofErr w:type="gramEnd"/>
      <w:r>
        <w:t>а</w:t>
      </w:r>
      <w:proofErr w:type="spellEnd"/>
      <w:r>
        <w:t xml:space="preserve"> земель для сельскохозяйстве</w:t>
      </w:r>
      <w:r>
        <w:t>н</w:t>
      </w:r>
      <w:r>
        <w:t xml:space="preserve">ных нужд, которые возможно </w:t>
      </w:r>
      <w:r w:rsidRPr="008829BF">
        <w:t>предостав</w:t>
      </w:r>
      <w:r>
        <w:t>ить</w:t>
      </w:r>
      <w:r w:rsidRPr="008829BF">
        <w:t xml:space="preserve"> заинтересованным лицам </w:t>
      </w:r>
      <w:r>
        <w:t>в собстве</w:t>
      </w:r>
      <w:r>
        <w:t>н</w:t>
      </w:r>
      <w:r>
        <w:t xml:space="preserve">ность за плату (или в аренду), что является потенциальным резервом увеличения доходов </w:t>
      </w:r>
      <w:r w:rsidRPr="008829BF">
        <w:t>от продажи земельных участков</w:t>
      </w:r>
      <w:r>
        <w:t xml:space="preserve"> (л</w:t>
      </w:r>
      <w:r>
        <w:t>и</w:t>
      </w:r>
      <w:r>
        <w:t>бо от их аренды).</w:t>
      </w:r>
    </w:p>
    <w:p w:rsidR="00C83EEA" w:rsidRDefault="00C83EEA" w:rsidP="00C83EEA">
      <w:pPr>
        <w:autoSpaceDE w:val="0"/>
        <w:autoSpaceDN w:val="0"/>
        <w:adjustRightInd w:val="0"/>
        <w:jc w:val="both"/>
      </w:pPr>
      <w:r>
        <w:tab/>
      </w:r>
      <w:r w:rsidRPr="000E7671">
        <w:t>Доходы от продажи земельных участков,</w:t>
      </w:r>
      <w:r w:rsidRPr="000E7671">
        <w:rPr>
          <w:b/>
        </w:rPr>
        <w:t xml:space="preserve"> </w:t>
      </w:r>
      <w:r w:rsidRPr="000E7671">
        <w:t>государственная собственность на которые не разграничена и которые расположены в границах городских округов (в облас</w:t>
      </w:r>
      <w:r w:rsidRPr="000E7671">
        <w:t>т</w:t>
      </w:r>
      <w:r w:rsidRPr="000E7671">
        <w:t xml:space="preserve">ной бюджет - по нормативу 20%), </w:t>
      </w:r>
      <w:r>
        <w:t>прогнозируются</w:t>
      </w:r>
      <w:r w:rsidRPr="000E7671">
        <w:t xml:space="preserve"> на 2013 год в сумме 64 134 </w:t>
      </w:r>
      <w:proofErr w:type="spellStart"/>
      <w:r w:rsidRPr="000E7671">
        <w:t>тыс</w:t>
      </w:r>
      <w:proofErr w:type="gramStart"/>
      <w:r w:rsidRPr="000E7671">
        <w:t>.р</w:t>
      </w:r>
      <w:proofErr w:type="gramEnd"/>
      <w:r w:rsidRPr="000E7671">
        <w:t>уб</w:t>
      </w:r>
      <w:proofErr w:type="spellEnd"/>
      <w:r w:rsidRPr="000E7671">
        <w:t xml:space="preserve">., </w:t>
      </w:r>
      <w:r>
        <w:t xml:space="preserve">на 2014-2015 годы - 64 129 </w:t>
      </w:r>
      <w:proofErr w:type="spellStart"/>
      <w:r>
        <w:t>тыс.</w:t>
      </w:r>
      <w:r w:rsidRPr="000E7671">
        <w:t>руб</w:t>
      </w:r>
      <w:proofErr w:type="spellEnd"/>
      <w:r w:rsidRPr="000E7671">
        <w:t>. ежегодно</w:t>
      </w:r>
      <w:r>
        <w:t>,</w:t>
      </w:r>
      <w:r w:rsidRPr="000E7671">
        <w:t xml:space="preserve"> что </w:t>
      </w:r>
      <w:r>
        <w:t>незначительно ниже</w:t>
      </w:r>
      <w:r w:rsidRPr="000E7671">
        <w:t xml:space="preserve"> установленно</w:t>
      </w:r>
      <w:r>
        <w:t>го</w:t>
      </w:r>
      <w:r w:rsidRPr="000E7671">
        <w:t xml:space="preserve"> пл</w:t>
      </w:r>
      <w:r w:rsidRPr="000E7671">
        <w:t>а</w:t>
      </w:r>
      <w:r w:rsidRPr="000E7671">
        <w:t>н</w:t>
      </w:r>
      <w:r>
        <w:t>а</w:t>
      </w:r>
      <w:r w:rsidRPr="000E7671">
        <w:t xml:space="preserve"> на 2012 год </w:t>
      </w:r>
      <w:r>
        <w:t xml:space="preserve">(64 418 </w:t>
      </w:r>
      <w:proofErr w:type="spellStart"/>
      <w:r>
        <w:t>тыс.руб</w:t>
      </w:r>
      <w:proofErr w:type="spellEnd"/>
      <w:r>
        <w:t>.). О</w:t>
      </w:r>
      <w:r w:rsidRPr="000E7671">
        <w:t>жидаем</w:t>
      </w:r>
      <w:r>
        <w:t>ое</w:t>
      </w:r>
      <w:r w:rsidRPr="000E7671">
        <w:t xml:space="preserve"> исполнение</w:t>
      </w:r>
      <w:r>
        <w:t xml:space="preserve"> за 2012 год в законопроекте пр</w:t>
      </w:r>
      <w:r>
        <w:t>е</w:t>
      </w:r>
      <w:r>
        <w:t xml:space="preserve">дусмотрено в сумме 42 447 </w:t>
      </w:r>
      <w:proofErr w:type="spellStart"/>
      <w:r>
        <w:t>тыс</w:t>
      </w:r>
      <w:proofErr w:type="gramStart"/>
      <w:r>
        <w:t>.</w:t>
      </w:r>
      <w:r w:rsidRPr="000E7671">
        <w:t>р</w:t>
      </w:r>
      <w:proofErr w:type="gramEnd"/>
      <w:r w:rsidRPr="000E7671">
        <w:t>уб</w:t>
      </w:r>
      <w:proofErr w:type="spellEnd"/>
      <w:r w:rsidRPr="000E7671">
        <w:t>.</w:t>
      </w:r>
      <w:r>
        <w:t xml:space="preserve"> или 66% от плана.</w:t>
      </w:r>
      <w:r w:rsidRPr="000E7671">
        <w:t xml:space="preserve"> </w:t>
      </w:r>
    </w:p>
    <w:p w:rsidR="00C83EEA" w:rsidRDefault="00C83EEA" w:rsidP="00C83EEA">
      <w:pPr>
        <w:tabs>
          <w:tab w:val="left" w:pos="720"/>
        </w:tabs>
        <w:autoSpaceDE w:val="0"/>
        <w:autoSpaceDN w:val="0"/>
        <w:adjustRightInd w:val="0"/>
        <w:jc w:val="both"/>
      </w:pPr>
      <w:r>
        <w:tab/>
        <w:t xml:space="preserve">Исходя из данных, представленных </w:t>
      </w:r>
      <w:r w:rsidRPr="000E7671">
        <w:t>администраци</w:t>
      </w:r>
      <w:r>
        <w:t>ями</w:t>
      </w:r>
      <w:r w:rsidRPr="000E7671">
        <w:t xml:space="preserve"> городских округов</w:t>
      </w:r>
      <w:r>
        <w:t>, ожида</w:t>
      </w:r>
      <w:r>
        <w:t>е</w:t>
      </w:r>
      <w:r>
        <w:t>мое поступление в областной бюджет д</w:t>
      </w:r>
      <w:r w:rsidRPr="000E7671">
        <w:t>оход</w:t>
      </w:r>
      <w:r>
        <w:t>ов</w:t>
      </w:r>
      <w:r w:rsidRPr="000E7671">
        <w:t xml:space="preserve"> от продажи земельных участков,</w:t>
      </w:r>
      <w:r w:rsidRPr="000E7671">
        <w:rPr>
          <w:b/>
        </w:rPr>
        <w:t xml:space="preserve"> </w:t>
      </w:r>
      <w:r w:rsidRPr="000E7671">
        <w:t>государственная собственность на которые не разграничена</w:t>
      </w:r>
      <w:r>
        <w:t>, за 2012 год может с</w:t>
      </w:r>
      <w:r>
        <w:t>о</w:t>
      </w:r>
      <w:r>
        <w:t xml:space="preserve">ставить лишь  34 950 </w:t>
      </w:r>
      <w:proofErr w:type="spellStart"/>
      <w:r>
        <w:t>тыс.</w:t>
      </w:r>
      <w:r w:rsidRPr="008829BF">
        <w:t>руб</w:t>
      </w:r>
      <w:proofErr w:type="spellEnd"/>
      <w:r w:rsidRPr="008829BF">
        <w:t>. или 54% от</w:t>
      </w:r>
      <w:r>
        <w:t xml:space="preserve"> установленного </w:t>
      </w:r>
      <w:r w:rsidRPr="008829BF">
        <w:t xml:space="preserve">плана </w:t>
      </w:r>
      <w:r>
        <w:t xml:space="preserve">(в связи с уменьшением ожидаемого объема доходов по данному источнику по </w:t>
      </w:r>
      <w:proofErr w:type="spellStart"/>
      <w:r>
        <w:t>г</w:t>
      </w:r>
      <w:proofErr w:type="gramStart"/>
      <w:r>
        <w:t>.Т</w:t>
      </w:r>
      <w:proofErr w:type="gramEnd"/>
      <w:r>
        <w:t>омску</w:t>
      </w:r>
      <w:proofErr w:type="spellEnd"/>
      <w:r>
        <w:t>). Вместе с тем, на 2013 год объем указанных доходов может превысить прогно</w:t>
      </w:r>
      <w:r>
        <w:t>з</w:t>
      </w:r>
      <w:r>
        <w:t xml:space="preserve">ное значение на 23 166 </w:t>
      </w:r>
      <w:proofErr w:type="spellStart"/>
      <w:r>
        <w:t>тыс.руб</w:t>
      </w:r>
      <w:proofErr w:type="spellEnd"/>
      <w:r>
        <w:t xml:space="preserve">. и составить 87 300 </w:t>
      </w:r>
      <w:proofErr w:type="spellStart"/>
      <w:r>
        <w:t>тыс.руб</w:t>
      </w:r>
      <w:proofErr w:type="spellEnd"/>
      <w:r>
        <w:t>. - исходя из уточненных данных Департамента экономического разв</w:t>
      </w:r>
      <w:r>
        <w:t>и</w:t>
      </w:r>
      <w:r>
        <w:t>тия и управления муниципальной собственностью Администрации города Томска об увелич</w:t>
      </w:r>
      <w:r>
        <w:t>е</w:t>
      </w:r>
      <w:r>
        <w:t>нии</w:t>
      </w:r>
      <w:r w:rsidRPr="005D135A">
        <w:t xml:space="preserve"> </w:t>
      </w:r>
      <w:r>
        <w:t xml:space="preserve">(на 22 участка общей площадью </w:t>
      </w:r>
      <w:smartTag w:uri="urn:schemas-microsoft-com:office:smarttags" w:element="metricconverter">
        <w:smartTagPr>
          <w:attr w:name="ProductID" w:val="37,5 га"/>
        </w:smartTagPr>
        <w:r>
          <w:t>37,5 га</w:t>
        </w:r>
      </w:smartTag>
      <w:r>
        <w:t>) планируемого к продаже количества земельных участков, расположенных в гран</w:t>
      </w:r>
      <w:r>
        <w:t>и</w:t>
      </w:r>
      <w:r>
        <w:t xml:space="preserve">цах  </w:t>
      </w:r>
      <w:proofErr w:type="spellStart"/>
      <w:r>
        <w:t>г</w:t>
      </w:r>
      <w:proofErr w:type="gramStart"/>
      <w:r>
        <w:t>.Т</w:t>
      </w:r>
      <w:proofErr w:type="gramEnd"/>
      <w:r>
        <w:t>омска</w:t>
      </w:r>
      <w:proofErr w:type="spellEnd"/>
      <w:r>
        <w:t>.</w:t>
      </w:r>
    </w:p>
    <w:p w:rsidR="00C83EEA" w:rsidRDefault="00C83EEA" w:rsidP="00C83EEA"/>
    <w:p w:rsidR="00C83EEA" w:rsidRPr="001961BC" w:rsidRDefault="00C83EEA" w:rsidP="00C83EEA">
      <w:pPr>
        <w:pStyle w:val="ConsPlusNormal"/>
        <w:widowControl/>
        <w:jc w:val="both"/>
        <w:rPr>
          <w:rFonts w:ascii="Times New Roman" w:hAnsi="Times New Roman" w:cs="Times New Roman"/>
          <w:sz w:val="24"/>
          <w:szCs w:val="24"/>
        </w:rPr>
      </w:pPr>
      <w:r w:rsidRPr="001961BC">
        <w:rPr>
          <w:rFonts w:ascii="Times New Roman" w:hAnsi="Times New Roman" w:cs="Times New Roman"/>
          <w:sz w:val="24"/>
          <w:szCs w:val="24"/>
        </w:rPr>
        <w:t>Анализ учтенных в законопроекте доходов от приватизации областного им</w:t>
      </w:r>
      <w:r w:rsidRPr="001961BC">
        <w:rPr>
          <w:rFonts w:ascii="Times New Roman" w:hAnsi="Times New Roman" w:cs="Times New Roman"/>
          <w:sz w:val="24"/>
          <w:szCs w:val="24"/>
        </w:rPr>
        <w:t>у</w:t>
      </w:r>
      <w:r>
        <w:rPr>
          <w:rFonts w:ascii="Times New Roman" w:hAnsi="Times New Roman" w:cs="Times New Roman"/>
          <w:sz w:val="24"/>
          <w:szCs w:val="24"/>
        </w:rPr>
        <w:t xml:space="preserve">щества приведен в разделе 7 </w:t>
      </w:r>
      <w:r w:rsidRPr="001961BC">
        <w:rPr>
          <w:rFonts w:ascii="Times New Roman" w:hAnsi="Times New Roman" w:cs="Times New Roman"/>
          <w:sz w:val="24"/>
          <w:szCs w:val="24"/>
        </w:rPr>
        <w:t>настоящего Заключения.</w:t>
      </w:r>
    </w:p>
    <w:p w:rsidR="00C83EEA" w:rsidRDefault="00C83EEA" w:rsidP="00C83EEA">
      <w:pPr>
        <w:rPr>
          <w:b/>
        </w:rPr>
      </w:pPr>
    </w:p>
    <w:p w:rsidR="00C83EEA" w:rsidRDefault="00C83EEA" w:rsidP="00C83EEA">
      <w:pPr>
        <w:rPr>
          <w:b/>
        </w:rPr>
      </w:pPr>
      <w:r>
        <w:rPr>
          <w:b/>
        </w:rPr>
        <w:t>5.7  П</w:t>
      </w:r>
      <w:r w:rsidRPr="00CD7524">
        <w:rPr>
          <w:b/>
        </w:rPr>
        <w:t>роцент</w:t>
      </w:r>
      <w:r>
        <w:rPr>
          <w:b/>
        </w:rPr>
        <w:t>ы</w:t>
      </w:r>
      <w:r w:rsidRPr="00CD7524">
        <w:rPr>
          <w:b/>
        </w:rPr>
        <w:t>, полученны</w:t>
      </w:r>
      <w:r>
        <w:rPr>
          <w:b/>
        </w:rPr>
        <w:t>е</w:t>
      </w:r>
      <w:r w:rsidRPr="00CD7524">
        <w:rPr>
          <w:b/>
        </w:rPr>
        <w:t xml:space="preserve"> от предоставления бюджетных кредитов</w:t>
      </w:r>
      <w:r>
        <w:rPr>
          <w:b/>
        </w:rPr>
        <w:t>.</w:t>
      </w:r>
    </w:p>
    <w:p w:rsidR="00C83EEA" w:rsidRDefault="00C83EEA" w:rsidP="00C83EEA">
      <w:pPr>
        <w:ind w:firstLine="709"/>
        <w:jc w:val="both"/>
      </w:pPr>
      <w:r w:rsidRPr="004F385A">
        <w:t>Порядком предоставления бюджетных кредитов из областного бюджета в 20</w:t>
      </w:r>
      <w:r>
        <w:t>13</w:t>
      </w:r>
      <w:r w:rsidRPr="004F385A">
        <w:t>-201</w:t>
      </w:r>
      <w:r>
        <w:t xml:space="preserve">5 </w:t>
      </w:r>
      <w:r w:rsidRPr="004F385A">
        <w:t xml:space="preserve">годах предусмотрено, что бюджетные кредиты из областного бюджета будут предоставляться только бюджетам муниципальных образований в объеме </w:t>
      </w:r>
      <w:r>
        <w:t>3</w:t>
      </w:r>
      <w:r w:rsidRPr="004F385A">
        <w:t xml:space="preserve">00 000 </w:t>
      </w:r>
      <w:proofErr w:type="spellStart"/>
      <w:r w:rsidRPr="004F385A">
        <w:t>тыс</w:t>
      </w:r>
      <w:proofErr w:type="gramStart"/>
      <w:r w:rsidRPr="004F385A">
        <w:t>.р</w:t>
      </w:r>
      <w:proofErr w:type="gramEnd"/>
      <w:r w:rsidRPr="004F385A">
        <w:t>уб</w:t>
      </w:r>
      <w:proofErr w:type="spellEnd"/>
      <w:r w:rsidRPr="004F385A">
        <w:t xml:space="preserve">. ежегодно на </w:t>
      </w:r>
      <w:r>
        <w:t>следующие цели:</w:t>
      </w:r>
    </w:p>
    <w:p w:rsidR="00C83EEA" w:rsidRDefault="00C83EEA" w:rsidP="00C83EEA">
      <w:pPr>
        <w:ind w:firstLine="709"/>
        <w:jc w:val="both"/>
      </w:pPr>
      <w:r>
        <w:t xml:space="preserve">- для частичного </w:t>
      </w:r>
      <w:r w:rsidRPr="004F385A">
        <w:t>покрыти</w:t>
      </w:r>
      <w:r>
        <w:t>я</w:t>
      </w:r>
      <w:r w:rsidRPr="004F385A">
        <w:t xml:space="preserve"> </w:t>
      </w:r>
      <w:r>
        <w:t>дефицита местного бюджета на срок до трех лет;</w:t>
      </w:r>
    </w:p>
    <w:p w:rsidR="00C83EEA" w:rsidRDefault="00C83EEA" w:rsidP="00C83EEA">
      <w:pPr>
        <w:ind w:firstLine="709"/>
        <w:jc w:val="both"/>
      </w:pPr>
      <w:r>
        <w:t xml:space="preserve">- для покрытия </w:t>
      </w:r>
      <w:r w:rsidRPr="004F385A">
        <w:t>временных кассовых разрывов, возникающих при исполнении местных бюджетов</w:t>
      </w:r>
      <w:r>
        <w:t>, на срок, не выходящий за пределы финансового года;</w:t>
      </w:r>
    </w:p>
    <w:p w:rsidR="00C83EEA" w:rsidRPr="004F385A" w:rsidRDefault="00C83EEA" w:rsidP="00C83EEA">
      <w:pPr>
        <w:ind w:firstLine="709"/>
        <w:jc w:val="both"/>
      </w:pPr>
      <w:r>
        <w:t xml:space="preserve">- для </w:t>
      </w:r>
      <w:r w:rsidRPr="004F385A">
        <w:t>осуществлени</w:t>
      </w:r>
      <w:r>
        <w:t>я</w:t>
      </w:r>
      <w:r w:rsidRPr="004F385A">
        <w:t xml:space="preserve"> мероприятий, связанных с ликвидацией последствий стихийных бедствий</w:t>
      </w:r>
      <w:r>
        <w:t>, на срок до одного года</w:t>
      </w:r>
      <w:r w:rsidRPr="004F385A">
        <w:t>.</w:t>
      </w:r>
    </w:p>
    <w:p w:rsidR="00C83EEA" w:rsidRDefault="00C83EEA" w:rsidP="00C83EEA">
      <w:pPr>
        <w:ind w:firstLine="708"/>
        <w:jc w:val="both"/>
      </w:pPr>
      <w:proofErr w:type="gramStart"/>
      <w:r w:rsidRPr="004F385A">
        <w:t xml:space="preserve">При этом плата за пользование бюджетным кредитом на покрытие временных кассовых разрывов, возникающих при исполнении местных бюджетов, </w:t>
      </w:r>
      <w:r>
        <w:t xml:space="preserve">на частичное покрытие дефицита местного бюджета </w:t>
      </w:r>
      <w:r w:rsidRPr="004F385A">
        <w:t>устанавливается в размере ставки рефинансирования Центрального банка РФ</w:t>
      </w:r>
      <w:r>
        <w:t xml:space="preserve">, </w:t>
      </w:r>
      <w:r w:rsidRPr="004F385A">
        <w:t xml:space="preserve"> действующей на день заключения договора о предоставлении бюджетного кредита, а при осуществлении мероприятий, связанных с ликвидацией последствий стихийных бедствий</w:t>
      </w:r>
      <w:r>
        <w:t xml:space="preserve">, </w:t>
      </w:r>
      <w:r w:rsidRPr="004F385A">
        <w:t xml:space="preserve"> по ставке 0,01 процента</w:t>
      </w:r>
      <w:r>
        <w:t xml:space="preserve"> годовых от суммы бюджетного кредита</w:t>
      </w:r>
      <w:r w:rsidRPr="004F385A">
        <w:t xml:space="preserve">. </w:t>
      </w:r>
      <w:proofErr w:type="gramEnd"/>
    </w:p>
    <w:p w:rsidR="00C83EEA" w:rsidRDefault="00C83EEA" w:rsidP="00C83EEA">
      <w:pPr>
        <w:ind w:firstLine="708"/>
        <w:jc w:val="both"/>
      </w:pPr>
      <w:r w:rsidRPr="004F385A">
        <w:t>Доходы областного бюджета от уплаты процентов, полученных от предоставления бюджетных кредитов</w:t>
      </w:r>
      <w:r>
        <w:t>,</w:t>
      </w:r>
      <w:r w:rsidRPr="004F385A">
        <w:t xml:space="preserve"> в 20</w:t>
      </w:r>
      <w:r>
        <w:t xml:space="preserve">13 </w:t>
      </w:r>
      <w:r w:rsidRPr="004F385A">
        <w:t>году</w:t>
      </w:r>
      <w:r>
        <w:t xml:space="preserve"> </w:t>
      </w:r>
      <w:r w:rsidRPr="004F385A">
        <w:t xml:space="preserve">могут составить </w:t>
      </w:r>
      <w:r>
        <w:t xml:space="preserve">2 063 </w:t>
      </w:r>
      <w:proofErr w:type="spellStart"/>
      <w:r w:rsidRPr="004F385A">
        <w:t>тыс</w:t>
      </w:r>
      <w:proofErr w:type="gramStart"/>
      <w:r w:rsidRPr="004F385A">
        <w:t>.р</w:t>
      </w:r>
      <w:proofErr w:type="gramEnd"/>
      <w:r w:rsidRPr="004F385A">
        <w:t>уб</w:t>
      </w:r>
      <w:proofErr w:type="spellEnd"/>
      <w:r w:rsidRPr="004F385A">
        <w:t xml:space="preserve">., </w:t>
      </w:r>
      <w:r>
        <w:t xml:space="preserve">в 2014 году 1 202 </w:t>
      </w:r>
      <w:proofErr w:type="spellStart"/>
      <w:r>
        <w:t>тыс.руб</w:t>
      </w:r>
      <w:proofErr w:type="spellEnd"/>
      <w:r>
        <w:t xml:space="preserve">., в 2015 году 714 </w:t>
      </w:r>
      <w:proofErr w:type="spellStart"/>
      <w:r>
        <w:t>тыс.руб</w:t>
      </w:r>
      <w:proofErr w:type="spellEnd"/>
      <w:r>
        <w:t>., в том числе в разрезе источников:</w:t>
      </w:r>
    </w:p>
    <w:p w:rsidR="00C83EEA" w:rsidRDefault="00C83EEA" w:rsidP="00C83EEA">
      <w:pPr>
        <w:ind w:firstLine="708"/>
        <w:jc w:val="right"/>
      </w:pPr>
    </w:p>
    <w:p w:rsidR="00C83EEA" w:rsidRDefault="00C83EEA" w:rsidP="00C83EEA">
      <w:pPr>
        <w:ind w:firstLine="708"/>
        <w:jc w:val="right"/>
      </w:pPr>
      <w:r>
        <w:t xml:space="preserve">Таблица 7, </w:t>
      </w:r>
      <w:proofErr w:type="spellStart"/>
      <w:r>
        <w:t>тыс</w:t>
      </w:r>
      <w:proofErr w:type="gramStart"/>
      <w:r>
        <w:t>.р</w:t>
      </w:r>
      <w:proofErr w:type="gramEnd"/>
      <w:r>
        <w:t>уб</w:t>
      </w:r>
      <w:proofErr w:type="spellEnd"/>
      <w:r>
        <w:t>.</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gridCol w:w="1620"/>
        <w:gridCol w:w="1620"/>
        <w:gridCol w:w="1620"/>
      </w:tblGrid>
      <w:tr w:rsidR="00C83EEA" w:rsidTr="009F24E6">
        <w:tc>
          <w:tcPr>
            <w:tcW w:w="3960" w:type="dxa"/>
            <w:shd w:val="clear" w:color="auto" w:fill="auto"/>
          </w:tcPr>
          <w:p w:rsidR="00C83EEA" w:rsidRPr="008D3D43" w:rsidRDefault="00C83EEA" w:rsidP="009F24E6">
            <w:pPr>
              <w:jc w:val="both"/>
              <w:rPr>
                <w:sz w:val="22"/>
                <w:szCs w:val="22"/>
              </w:rPr>
            </w:pPr>
          </w:p>
        </w:tc>
        <w:tc>
          <w:tcPr>
            <w:tcW w:w="1620" w:type="dxa"/>
            <w:shd w:val="clear" w:color="auto" w:fill="auto"/>
            <w:vAlign w:val="center"/>
          </w:tcPr>
          <w:p w:rsidR="00C83EEA" w:rsidRPr="008D3D43" w:rsidRDefault="00C83EEA" w:rsidP="009F24E6">
            <w:pPr>
              <w:jc w:val="center"/>
              <w:rPr>
                <w:b/>
                <w:sz w:val="22"/>
                <w:szCs w:val="22"/>
              </w:rPr>
            </w:pPr>
            <w:r w:rsidRPr="008D3D43">
              <w:rPr>
                <w:b/>
                <w:sz w:val="22"/>
                <w:szCs w:val="22"/>
              </w:rPr>
              <w:t>2013</w:t>
            </w:r>
          </w:p>
        </w:tc>
        <w:tc>
          <w:tcPr>
            <w:tcW w:w="1620" w:type="dxa"/>
            <w:shd w:val="clear" w:color="auto" w:fill="auto"/>
            <w:vAlign w:val="center"/>
          </w:tcPr>
          <w:p w:rsidR="00C83EEA" w:rsidRPr="008D3D43" w:rsidRDefault="00C83EEA" w:rsidP="009F24E6">
            <w:pPr>
              <w:jc w:val="center"/>
              <w:rPr>
                <w:b/>
                <w:sz w:val="22"/>
                <w:szCs w:val="22"/>
              </w:rPr>
            </w:pPr>
            <w:r w:rsidRPr="008D3D43">
              <w:rPr>
                <w:b/>
                <w:sz w:val="22"/>
                <w:szCs w:val="22"/>
              </w:rPr>
              <w:t>2014</w:t>
            </w:r>
          </w:p>
        </w:tc>
        <w:tc>
          <w:tcPr>
            <w:tcW w:w="1620" w:type="dxa"/>
            <w:shd w:val="clear" w:color="auto" w:fill="auto"/>
            <w:vAlign w:val="center"/>
          </w:tcPr>
          <w:p w:rsidR="00C83EEA" w:rsidRPr="008D3D43" w:rsidRDefault="00C83EEA" w:rsidP="009F24E6">
            <w:pPr>
              <w:jc w:val="center"/>
              <w:rPr>
                <w:b/>
                <w:sz w:val="22"/>
                <w:szCs w:val="22"/>
              </w:rPr>
            </w:pPr>
            <w:r w:rsidRPr="008D3D43">
              <w:rPr>
                <w:b/>
                <w:sz w:val="22"/>
                <w:szCs w:val="22"/>
              </w:rPr>
              <w:t>2015</w:t>
            </w:r>
          </w:p>
        </w:tc>
      </w:tr>
      <w:tr w:rsidR="00C83EEA" w:rsidTr="009F24E6">
        <w:tc>
          <w:tcPr>
            <w:tcW w:w="3960" w:type="dxa"/>
            <w:shd w:val="clear" w:color="auto" w:fill="auto"/>
          </w:tcPr>
          <w:p w:rsidR="00C83EEA" w:rsidRPr="008D3D43" w:rsidRDefault="00C83EEA" w:rsidP="009F24E6">
            <w:pPr>
              <w:jc w:val="both"/>
              <w:rPr>
                <w:sz w:val="22"/>
                <w:szCs w:val="22"/>
              </w:rPr>
            </w:pPr>
            <w:r w:rsidRPr="008D3D43">
              <w:rPr>
                <w:sz w:val="22"/>
                <w:szCs w:val="22"/>
              </w:rPr>
              <w:t>ТОФА «АККОР»</w:t>
            </w:r>
          </w:p>
        </w:tc>
        <w:tc>
          <w:tcPr>
            <w:tcW w:w="1620" w:type="dxa"/>
            <w:shd w:val="clear" w:color="auto" w:fill="auto"/>
            <w:vAlign w:val="center"/>
          </w:tcPr>
          <w:p w:rsidR="00C83EEA" w:rsidRPr="008D3D43" w:rsidRDefault="00C83EEA" w:rsidP="009F24E6">
            <w:pPr>
              <w:jc w:val="center"/>
              <w:rPr>
                <w:sz w:val="22"/>
                <w:szCs w:val="22"/>
              </w:rPr>
            </w:pPr>
            <w:r w:rsidRPr="008D3D43">
              <w:rPr>
                <w:sz w:val="22"/>
                <w:szCs w:val="22"/>
              </w:rPr>
              <w:t>61</w:t>
            </w:r>
          </w:p>
        </w:tc>
        <w:tc>
          <w:tcPr>
            <w:tcW w:w="1620" w:type="dxa"/>
            <w:shd w:val="clear" w:color="auto" w:fill="auto"/>
            <w:vAlign w:val="center"/>
          </w:tcPr>
          <w:p w:rsidR="00C83EEA" w:rsidRPr="008D3D43" w:rsidRDefault="00C83EEA" w:rsidP="009F24E6">
            <w:pPr>
              <w:jc w:val="center"/>
              <w:rPr>
                <w:sz w:val="22"/>
                <w:szCs w:val="22"/>
              </w:rPr>
            </w:pPr>
            <w:r w:rsidRPr="008D3D43">
              <w:rPr>
                <w:sz w:val="22"/>
                <w:szCs w:val="22"/>
              </w:rPr>
              <w:t>45</w:t>
            </w:r>
          </w:p>
        </w:tc>
        <w:tc>
          <w:tcPr>
            <w:tcW w:w="1620" w:type="dxa"/>
            <w:shd w:val="clear" w:color="auto" w:fill="auto"/>
            <w:vAlign w:val="center"/>
          </w:tcPr>
          <w:p w:rsidR="00C83EEA" w:rsidRPr="008D3D43" w:rsidRDefault="00C83EEA" w:rsidP="009F24E6">
            <w:pPr>
              <w:jc w:val="center"/>
              <w:rPr>
                <w:sz w:val="22"/>
                <w:szCs w:val="22"/>
              </w:rPr>
            </w:pPr>
            <w:r w:rsidRPr="008D3D43">
              <w:rPr>
                <w:sz w:val="22"/>
                <w:szCs w:val="22"/>
              </w:rPr>
              <w:t>30</w:t>
            </w:r>
          </w:p>
        </w:tc>
      </w:tr>
      <w:tr w:rsidR="00C83EEA" w:rsidTr="009F24E6">
        <w:tc>
          <w:tcPr>
            <w:tcW w:w="3960" w:type="dxa"/>
            <w:shd w:val="clear" w:color="auto" w:fill="auto"/>
          </w:tcPr>
          <w:p w:rsidR="00C83EEA" w:rsidRPr="008D3D43" w:rsidRDefault="00C83EEA" w:rsidP="009F24E6">
            <w:pPr>
              <w:jc w:val="both"/>
              <w:rPr>
                <w:sz w:val="22"/>
                <w:szCs w:val="22"/>
              </w:rPr>
            </w:pPr>
            <w:r w:rsidRPr="008D3D43">
              <w:rPr>
                <w:sz w:val="22"/>
                <w:szCs w:val="22"/>
              </w:rPr>
              <w:t xml:space="preserve">Реструктурированная задолженность </w:t>
            </w:r>
          </w:p>
        </w:tc>
        <w:tc>
          <w:tcPr>
            <w:tcW w:w="1620" w:type="dxa"/>
            <w:shd w:val="clear" w:color="auto" w:fill="auto"/>
            <w:vAlign w:val="center"/>
          </w:tcPr>
          <w:p w:rsidR="00C83EEA" w:rsidRPr="008D3D43" w:rsidRDefault="00C83EEA" w:rsidP="009F24E6">
            <w:pPr>
              <w:jc w:val="center"/>
              <w:rPr>
                <w:sz w:val="22"/>
                <w:szCs w:val="22"/>
              </w:rPr>
            </w:pPr>
            <w:r w:rsidRPr="008D3D43">
              <w:rPr>
                <w:sz w:val="22"/>
                <w:szCs w:val="22"/>
              </w:rPr>
              <w:t>345</w:t>
            </w:r>
          </w:p>
        </w:tc>
        <w:tc>
          <w:tcPr>
            <w:tcW w:w="1620" w:type="dxa"/>
            <w:shd w:val="clear" w:color="auto" w:fill="auto"/>
            <w:vAlign w:val="center"/>
          </w:tcPr>
          <w:p w:rsidR="00C83EEA" w:rsidRPr="008D3D43" w:rsidRDefault="00C83EEA" w:rsidP="009F24E6">
            <w:pPr>
              <w:jc w:val="center"/>
              <w:rPr>
                <w:sz w:val="22"/>
                <w:szCs w:val="22"/>
              </w:rPr>
            </w:pPr>
            <w:r w:rsidRPr="008D3D43">
              <w:rPr>
                <w:sz w:val="22"/>
                <w:szCs w:val="22"/>
              </w:rPr>
              <w:t>310</w:t>
            </w:r>
          </w:p>
        </w:tc>
        <w:tc>
          <w:tcPr>
            <w:tcW w:w="1620" w:type="dxa"/>
            <w:shd w:val="clear" w:color="auto" w:fill="auto"/>
            <w:vAlign w:val="center"/>
          </w:tcPr>
          <w:p w:rsidR="00C83EEA" w:rsidRPr="008D3D43" w:rsidRDefault="00C83EEA" w:rsidP="009F24E6">
            <w:pPr>
              <w:jc w:val="center"/>
              <w:rPr>
                <w:sz w:val="22"/>
                <w:szCs w:val="22"/>
              </w:rPr>
            </w:pPr>
            <w:r w:rsidRPr="008D3D43">
              <w:rPr>
                <w:sz w:val="22"/>
                <w:szCs w:val="22"/>
              </w:rPr>
              <w:t>274</w:t>
            </w:r>
          </w:p>
        </w:tc>
      </w:tr>
      <w:tr w:rsidR="00C83EEA" w:rsidTr="009F24E6">
        <w:tc>
          <w:tcPr>
            <w:tcW w:w="3960" w:type="dxa"/>
            <w:shd w:val="clear" w:color="auto" w:fill="auto"/>
          </w:tcPr>
          <w:p w:rsidR="00C83EEA" w:rsidRPr="008D3D43" w:rsidRDefault="00C83EEA" w:rsidP="009F24E6">
            <w:pPr>
              <w:jc w:val="both"/>
              <w:rPr>
                <w:sz w:val="22"/>
                <w:szCs w:val="22"/>
              </w:rPr>
            </w:pPr>
            <w:r w:rsidRPr="008D3D43">
              <w:rPr>
                <w:sz w:val="22"/>
                <w:szCs w:val="22"/>
              </w:rPr>
              <w:t>Строительство жилья на селе</w:t>
            </w:r>
          </w:p>
        </w:tc>
        <w:tc>
          <w:tcPr>
            <w:tcW w:w="1620" w:type="dxa"/>
            <w:shd w:val="clear" w:color="auto" w:fill="auto"/>
            <w:vAlign w:val="center"/>
          </w:tcPr>
          <w:p w:rsidR="00C83EEA" w:rsidRPr="008D3D43" w:rsidRDefault="00C83EEA" w:rsidP="009F24E6">
            <w:pPr>
              <w:jc w:val="center"/>
              <w:rPr>
                <w:sz w:val="22"/>
                <w:szCs w:val="22"/>
              </w:rPr>
            </w:pPr>
            <w:r w:rsidRPr="008D3D43">
              <w:rPr>
                <w:sz w:val="22"/>
                <w:szCs w:val="22"/>
              </w:rPr>
              <w:t>2</w:t>
            </w:r>
          </w:p>
        </w:tc>
        <w:tc>
          <w:tcPr>
            <w:tcW w:w="1620" w:type="dxa"/>
            <w:shd w:val="clear" w:color="auto" w:fill="auto"/>
            <w:vAlign w:val="center"/>
          </w:tcPr>
          <w:p w:rsidR="00C83EEA" w:rsidRPr="008D3D43" w:rsidRDefault="00C83EEA" w:rsidP="009F24E6">
            <w:pPr>
              <w:jc w:val="center"/>
              <w:rPr>
                <w:sz w:val="22"/>
                <w:szCs w:val="22"/>
              </w:rPr>
            </w:pPr>
            <w:r w:rsidRPr="008D3D43">
              <w:rPr>
                <w:sz w:val="22"/>
                <w:szCs w:val="22"/>
              </w:rPr>
              <w:t>1</w:t>
            </w:r>
          </w:p>
        </w:tc>
        <w:tc>
          <w:tcPr>
            <w:tcW w:w="1620" w:type="dxa"/>
            <w:shd w:val="clear" w:color="auto" w:fill="auto"/>
            <w:vAlign w:val="center"/>
          </w:tcPr>
          <w:p w:rsidR="00C83EEA" w:rsidRPr="008D3D43" w:rsidRDefault="00C83EEA" w:rsidP="009F24E6">
            <w:pPr>
              <w:jc w:val="center"/>
              <w:rPr>
                <w:sz w:val="22"/>
                <w:szCs w:val="22"/>
              </w:rPr>
            </w:pPr>
          </w:p>
        </w:tc>
      </w:tr>
      <w:tr w:rsidR="00C83EEA" w:rsidTr="009F24E6">
        <w:tc>
          <w:tcPr>
            <w:tcW w:w="3960" w:type="dxa"/>
            <w:shd w:val="clear" w:color="auto" w:fill="auto"/>
          </w:tcPr>
          <w:p w:rsidR="00C83EEA" w:rsidRPr="008D3D43" w:rsidRDefault="00C83EEA" w:rsidP="009F24E6">
            <w:pPr>
              <w:rPr>
                <w:sz w:val="22"/>
                <w:szCs w:val="22"/>
              </w:rPr>
            </w:pPr>
            <w:r w:rsidRPr="008D3D43">
              <w:rPr>
                <w:sz w:val="22"/>
                <w:szCs w:val="22"/>
              </w:rPr>
              <w:t>Кредиты муниципальным образованиям</w:t>
            </w:r>
          </w:p>
        </w:tc>
        <w:tc>
          <w:tcPr>
            <w:tcW w:w="1620" w:type="dxa"/>
            <w:shd w:val="clear" w:color="auto" w:fill="auto"/>
            <w:vAlign w:val="center"/>
          </w:tcPr>
          <w:p w:rsidR="00C83EEA" w:rsidRPr="008D3D43" w:rsidRDefault="00C83EEA" w:rsidP="009F24E6">
            <w:pPr>
              <w:jc w:val="center"/>
              <w:rPr>
                <w:sz w:val="22"/>
                <w:szCs w:val="22"/>
              </w:rPr>
            </w:pPr>
            <w:r w:rsidRPr="008D3D43">
              <w:rPr>
                <w:sz w:val="22"/>
                <w:szCs w:val="22"/>
              </w:rPr>
              <w:t>1 655</w:t>
            </w:r>
          </w:p>
        </w:tc>
        <w:tc>
          <w:tcPr>
            <w:tcW w:w="1620" w:type="dxa"/>
            <w:shd w:val="clear" w:color="auto" w:fill="auto"/>
            <w:vAlign w:val="center"/>
          </w:tcPr>
          <w:p w:rsidR="00C83EEA" w:rsidRPr="008D3D43" w:rsidRDefault="00C83EEA" w:rsidP="009F24E6">
            <w:pPr>
              <w:jc w:val="center"/>
              <w:rPr>
                <w:sz w:val="22"/>
                <w:szCs w:val="22"/>
              </w:rPr>
            </w:pPr>
            <w:r w:rsidRPr="008D3D43">
              <w:rPr>
                <w:sz w:val="22"/>
                <w:szCs w:val="22"/>
              </w:rPr>
              <w:t>846</w:t>
            </w:r>
          </w:p>
        </w:tc>
        <w:tc>
          <w:tcPr>
            <w:tcW w:w="1620" w:type="dxa"/>
            <w:shd w:val="clear" w:color="auto" w:fill="auto"/>
            <w:vAlign w:val="center"/>
          </w:tcPr>
          <w:p w:rsidR="00C83EEA" w:rsidRPr="008D3D43" w:rsidRDefault="00C83EEA" w:rsidP="009F24E6">
            <w:pPr>
              <w:jc w:val="center"/>
              <w:rPr>
                <w:sz w:val="22"/>
                <w:szCs w:val="22"/>
              </w:rPr>
            </w:pPr>
            <w:r w:rsidRPr="008D3D43">
              <w:rPr>
                <w:sz w:val="22"/>
                <w:szCs w:val="22"/>
              </w:rPr>
              <w:t>410</w:t>
            </w:r>
          </w:p>
        </w:tc>
      </w:tr>
      <w:tr w:rsidR="00C83EEA" w:rsidTr="009F24E6">
        <w:tc>
          <w:tcPr>
            <w:tcW w:w="3960" w:type="dxa"/>
            <w:shd w:val="clear" w:color="auto" w:fill="auto"/>
          </w:tcPr>
          <w:p w:rsidR="00C83EEA" w:rsidRPr="008D3D43" w:rsidRDefault="00C83EEA" w:rsidP="009F24E6">
            <w:pPr>
              <w:jc w:val="center"/>
              <w:rPr>
                <w:b/>
                <w:sz w:val="22"/>
                <w:szCs w:val="22"/>
              </w:rPr>
            </w:pPr>
            <w:r w:rsidRPr="008D3D43">
              <w:rPr>
                <w:b/>
                <w:sz w:val="22"/>
                <w:szCs w:val="22"/>
              </w:rPr>
              <w:lastRenderedPageBreak/>
              <w:t>Итого:</w:t>
            </w:r>
          </w:p>
        </w:tc>
        <w:tc>
          <w:tcPr>
            <w:tcW w:w="1620" w:type="dxa"/>
            <w:shd w:val="clear" w:color="auto" w:fill="auto"/>
            <w:vAlign w:val="center"/>
          </w:tcPr>
          <w:p w:rsidR="00C83EEA" w:rsidRPr="008D3D43" w:rsidRDefault="00C83EEA" w:rsidP="009F24E6">
            <w:pPr>
              <w:jc w:val="center"/>
              <w:rPr>
                <w:b/>
                <w:sz w:val="22"/>
                <w:szCs w:val="22"/>
              </w:rPr>
            </w:pPr>
            <w:r w:rsidRPr="008D3D43">
              <w:rPr>
                <w:b/>
                <w:sz w:val="22"/>
                <w:szCs w:val="22"/>
              </w:rPr>
              <w:t>2063</w:t>
            </w:r>
          </w:p>
        </w:tc>
        <w:tc>
          <w:tcPr>
            <w:tcW w:w="1620" w:type="dxa"/>
            <w:shd w:val="clear" w:color="auto" w:fill="auto"/>
            <w:vAlign w:val="center"/>
          </w:tcPr>
          <w:p w:rsidR="00C83EEA" w:rsidRPr="008D3D43" w:rsidRDefault="00C83EEA" w:rsidP="009F24E6">
            <w:pPr>
              <w:jc w:val="center"/>
              <w:rPr>
                <w:b/>
                <w:sz w:val="22"/>
                <w:szCs w:val="22"/>
              </w:rPr>
            </w:pPr>
            <w:r w:rsidRPr="008D3D43">
              <w:rPr>
                <w:b/>
                <w:sz w:val="22"/>
                <w:szCs w:val="22"/>
              </w:rPr>
              <w:t>1202</w:t>
            </w:r>
          </w:p>
        </w:tc>
        <w:tc>
          <w:tcPr>
            <w:tcW w:w="1620" w:type="dxa"/>
            <w:shd w:val="clear" w:color="auto" w:fill="auto"/>
            <w:vAlign w:val="center"/>
          </w:tcPr>
          <w:p w:rsidR="00C83EEA" w:rsidRPr="008D3D43" w:rsidRDefault="00C83EEA" w:rsidP="009F24E6">
            <w:pPr>
              <w:jc w:val="center"/>
              <w:rPr>
                <w:b/>
                <w:sz w:val="22"/>
                <w:szCs w:val="22"/>
              </w:rPr>
            </w:pPr>
            <w:r w:rsidRPr="008D3D43">
              <w:rPr>
                <w:b/>
                <w:sz w:val="22"/>
                <w:szCs w:val="22"/>
              </w:rPr>
              <w:t>714</w:t>
            </w:r>
          </w:p>
        </w:tc>
      </w:tr>
    </w:tbl>
    <w:p w:rsidR="00C83EEA" w:rsidRDefault="00C83EEA" w:rsidP="00C83EEA">
      <w:pPr>
        <w:ind w:firstLine="708"/>
        <w:jc w:val="both"/>
      </w:pPr>
      <w:r>
        <w:t xml:space="preserve">Доходы от уплаты процентов, полученных от предоставления бюджетных кредитов, указанные в материалах к законопроекту, составляют на 2013 год – 1 599 </w:t>
      </w:r>
      <w:proofErr w:type="spellStart"/>
      <w:r>
        <w:t>тыс</w:t>
      </w:r>
      <w:proofErr w:type="gramStart"/>
      <w:r>
        <w:t>.р</w:t>
      </w:r>
      <w:proofErr w:type="gramEnd"/>
      <w:r>
        <w:t>уб</w:t>
      </w:r>
      <w:proofErr w:type="spellEnd"/>
      <w:r>
        <w:t xml:space="preserve">., на 2014 год – 1 047 </w:t>
      </w:r>
      <w:proofErr w:type="spellStart"/>
      <w:r>
        <w:t>тыс.руб</w:t>
      </w:r>
      <w:proofErr w:type="spellEnd"/>
      <w:r>
        <w:t xml:space="preserve">., на 2015 год – 557 </w:t>
      </w:r>
      <w:proofErr w:type="spellStart"/>
      <w:r>
        <w:t>тыс.руб</w:t>
      </w:r>
      <w:proofErr w:type="spellEnd"/>
      <w:r>
        <w:t>.</w:t>
      </w:r>
    </w:p>
    <w:p w:rsidR="00C83EEA" w:rsidRDefault="00C83EEA" w:rsidP="00C83EEA">
      <w:pPr>
        <w:ind w:firstLine="708"/>
        <w:jc w:val="both"/>
      </w:pPr>
      <w:r>
        <w:t xml:space="preserve">Таким образом, суммы, указанные в материалах к </w:t>
      </w:r>
      <w:r w:rsidRPr="001961BC">
        <w:t>законопроекту</w:t>
      </w:r>
      <w:r>
        <w:t>,</w:t>
      </w:r>
      <w:r w:rsidRPr="001961BC">
        <w:t xml:space="preserve"> подлежат корректировке в сторону увеличения на 2013 год – на 464 </w:t>
      </w:r>
      <w:proofErr w:type="spellStart"/>
      <w:r w:rsidRPr="001961BC">
        <w:t>тыс</w:t>
      </w:r>
      <w:proofErr w:type="gramStart"/>
      <w:r w:rsidRPr="001961BC">
        <w:t>.р</w:t>
      </w:r>
      <w:proofErr w:type="gramEnd"/>
      <w:r w:rsidRPr="001961BC">
        <w:t>уб</w:t>
      </w:r>
      <w:proofErr w:type="spellEnd"/>
      <w:r w:rsidRPr="001961BC">
        <w:t>., на 2014 год – на</w:t>
      </w:r>
      <w:r>
        <w:t xml:space="preserve"> 155 </w:t>
      </w:r>
      <w:proofErr w:type="spellStart"/>
      <w:r>
        <w:t>тыс.руб</w:t>
      </w:r>
      <w:proofErr w:type="spellEnd"/>
      <w:r>
        <w:t xml:space="preserve">., на 2015 год – на 157 </w:t>
      </w:r>
      <w:proofErr w:type="spellStart"/>
      <w:r>
        <w:t>тыс.руб</w:t>
      </w:r>
      <w:proofErr w:type="spellEnd"/>
      <w:r>
        <w:t>.</w:t>
      </w:r>
    </w:p>
    <w:p w:rsidR="00C83EEA" w:rsidRPr="003C0483" w:rsidRDefault="00C83EEA" w:rsidP="00C83EEA">
      <w:pPr>
        <w:ind w:firstLine="708"/>
        <w:jc w:val="both"/>
      </w:pPr>
      <w:r>
        <w:t xml:space="preserve">Следует отметить, что 22.12.2011 Департаментом финансов был предоставлен бюджетный кредит в сумме 270 </w:t>
      </w:r>
      <w:proofErr w:type="spellStart"/>
      <w:r>
        <w:t>млн.руб</w:t>
      </w:r>
      <w:proofErr w:type="spellEnd"/>
      <w:r>
        <w:t xml:space="preserve">. на покрытие </w:t>
      </w:r>
      <w:r w:rsidRPr="004F385A">
        <w:t>временн</w:t>
      </w:r>
      <w:r>
        <w:t>ого</w:t>
      </w:r>
      <w:r w:rsidRPr="004F385A">
        <w:t xml:space="preserve"> кассов</w:t>
      </w:r>
      <w:r>
        <w:t>ого</w:t>
      </w:r>
      <w:r w:rsidRPr="004F385A">
        <w:t xml:space="preserve"> разрыв</w:t>
      </w:r>
      <w:r>
        <w:t>а</w:t>
      </w:r>
      <w:r w:rsidRPr="004F385A">
        <w:t>, возник</w:t>
      </w:r>
      <w:r>
        <w:t>шего</w:t>
      </w:r>
      <w:r w:rsidRPr="004F385A">
        <w:t xml:space="preserve"> при исполнении  бюджет</w:t>
      </w:r>
      <w:r>
        <w:t xml:space="preserve">а </w:t>
      </w:r>
      <w:proofErr w:type="spellStart"/>
      <w:r>
        <w:t>г</w:t>
      </w:r>
      <w:proofErr w:type="gramStart"/>
      <w:r>
        <w:t>.Т</w:t>
      </w:r>
      <w:proofErr w:type="gramEnd"/>
      <w:r>
        <w:t>омска</w:t>
      </w:r>
      <w:proofErr w:type="spellEnd"/>
      <w:r>
        <w:t xml:space="preserve">, со сроком погашения 20.12.2012. Плата за пользование указанным кредитом за год составит 21,6 </w:t>
      </w:r>
      <w:proofErr w:type="spellStart"/>
      <w:r>
        <w:t>млн</w:t>
      </w:r>
      <w:proofErr w:type="gramStart"/>
      <w:r>
        <w:t>.р</w:t>
      </w:r>
      <w:proofErr w:type="gramEnd"/>
      <w:r>
        <w:t>уб</w:t>
      </w:r>
      <w:proofErr w:type="spellEnd"/>
      <w:r>
        <w:t xml:space="preserve">. В случае аналогичной ситуации в 2013 году доходы областного бюджета от уплаты процентов за пользование бюджетными </w:t>
      </w:r>
      <w:r w:rsidRPr="003C0483">
        <w:t xml:space="preserve">кредитами могут быть увеличены в 10 раз. </w:t>
      </w:r>
    </w:p>
    <w:p w:rsidR="00C83EEA" w:rsidRPr="002C1E03" w:rsidRDefault="00C83EEA" w:rsidP="00C83EEA">
      <w:pPr>
        <w:pStyle w:val="ConsPlusNormal"/>
        <w:widowControl/>
        <w:jc w:val="both"/>
        <w:rPr>
          <w:rFonts w:ascii="Times New Roman" w:hAnsi="Times New Roman" w:cs="Times New Roman"/>
          <w:sz w:val="24"/>
          <w:szCs w:val="24"/>
        </w:rPr>
      </w:pPr>
    </w:p>
    <w:p w:rsidR="00C83EEA" w:rsidRDefault="00C83EEA" w:rsidP="00C83EEA">
      <w:pPr>
        <w:pStyle w:val="a3"/>
        <w:spacing w:after="0" w:line="25" w:lineRule="atLeast"/>
        <w:ind w:firstLine="708"/>
        <w:rPr>
          <w:b/>
        </w:rPr>
      </w:pPr>
      <w:r>
        <w:rPr>
          <w:b/>
        </w:rPr>
        <w:t>6</w:t>
      </w:r>
      <w:r w:rsidRPr="0020536F">
        <w:rPr>
          <w:b/>
        </w:rPr>
        <w:t>. Расходы областного бюджета.</w:t>
      </w:r>
    </w:p>
    <w:p w:rsidR="00C83EEA" w:rsidRPr="0020536F" w:rsidRDefault="00C83EEA" w:rsidP="00C83EEA">
      <w:pPr>
        <w:pStyle w:val="a3"/>
        <w:spacing w:after="0" w:line="25" w:lineRule="atLeast"/>
        <w:ind w:firstLine="708"/>
        <w:rPr>
          <w:b/>
        </w:rPr>
      </w:pPr>
    </w:p>
    <w:p w:rsidR="00C83EEA" w:rsidRDefault="00C83EEA" w:rsidP="00C83EEA">
      <w:pPr>
        <w:pStyle w:val="rvps698610"/>
        <w:widowControl w:val="0"/>
        <w:tabs>
          <w:tab w:val="left" w:pos="0"/>
          <w:tab w:val="left" w:pos="9355"/>
        </w:tabs>
        <w:spacing w:after="0"/>
        <w:ind w:right="0" w:firstLine="720"/>
        <w:jc w:val="both"/>
      </w:pPr>
      <w:r w:rsidRPr="000F76B9">
        <w:rPr>
          <w:bCs/>
        </w:rPr>
        <w:t>Расходы</w:t>
      </w:r>
      <w:r w:rsidRPr="000F76B9">
        <w:t xml:space="preserve"> областного бюджета</w:t>
      </w:r>
      <w:r w:rsidRPr="003E54D0">
        <w:t xml:space="preserve"> </w:t>
      </w:r>
      <w:r>
        <w:t xml:space="preserve">на 2013 год по законопроекту составят 40 511 270,1 </w:t>
      </w:r>
      <w:proofErr w:type="spellStart"/>
      <w:r>
        <w:t>тыс</w:t>
      </w:r>
      <w:proofErr w:type="gramStart"/>
      <w:r>
        <w:t>.р</w:t>
      </w:r>
      <w:proofErr w:type="gramEnd"/>
      <w:r>
        <w:t>уб</w:t>
      </w:r>
      <w:proofErr w:type="spellEnd"/>
      <w:r>
        <w:t xml:space="preserve">., из них обеспечено собственными доходными источниками 36 542 606,0 </w:t>
      </w:r>
      <w:proofErr w:type="spellStart"/>
      <w:r>
        <w:t>тыс.руб</w:t>
      </w:r>
      <w:proofErr w:type="spellEnd"/>
      <w:r>
        <w:t xml:space="preserve">. с темпом роста к плановым (с учетом изменений сентября </w:t>
      </w:r>
      <w:proofErr w:type="spellStart"/>
      <w:r>
        <w:t>т.г</w:t>
      </w:r>
      <w:proofErr w:type="spellEnd"/>
      <w:r>
        <w:t xml:space="preserve">.) расходам на 2012 год в размере 95,9%, в сопоставимых ценах  – 90,8%. </w:t>
      </w:r>
    </w:p>
    <w:p w:rsidR="00C83EEA" w:rsidRPr="0044732A" w:rsidRDefault="00C83EEA" w:rsidP="00C83EEA">
      <w:pPr>
        <w:pStyle w:val="rvps698610"/>
        <w:widowControl w:val="0"/>
        <w:tabs>
          <w:tab w:val="left" w:pos="0"/>
          <w:tab w:val="left" w:pos="9355"/>
        </w:tabs>
        <w:spacing w:after="0"/>
        <w:ind w:right="0" w:firstLine="720"/>
        <w:jc w:val="right"/>
      </w:pPr>
      <w:r w:rsidRPr="0044732A">
        <w:t xml:space="preserve">Таблица 8, </w:t>
      </w:r>
      <w:proofErr w:type="spellStart"/>
      <w:r w:rsidRPr="0044732A">
        <w:t>тыс</w:t>
      </w:r>
      <w:proofErr w:type="gramStart"/>
      <w:r w:rsidRPr="0044732A">
        <w:t>.р</w:t>
      </w:r>
      <w:proofErr w:type="gramEnd"/>
      <w:r w:rsidRPr="0044732A">
        <w:t>уб</w:t>
      </w:r>
      <w:proofErr w:type="spellEnd"/>
      <w:r w:rsidRPr="0044732A">
        <w:t>.</w:t>
      </w:r>
    </w:p>
    <w:tbl>
      <w:tblPr>
        <w:tblW w:w="10080" w:type="dxa"/>
        <w:tblInd w:w="-252" w:type="dxa"/>
        <w:tblLayout w:type="fixed"/>
        <w:tblLook w:val="0000" w:firstRow="0" w:lastRow="0" w:firstColumn="0" w:lastColumn="0" w:noHBand="0" w:noVBand="0"/>
      </w:tblPr>
      <w:tblGrid>
        <w:gridCol w:w="2486"/>
        <w:gridCol w:w="1339"/>
        <w:gridCol w:w="1339"/>
        <w:gridCol w:w="776"/>
        <w:gridCol w:w="1339"/>
        <w:gridCol w:w="821"/>
        <w:gridCol w:w="1260"/>
        <w:gridCol w:w="720"/>
      </w:tblGrid>
      <w:tr w:rsidR="00C83EEA" w:rsidRPr="00AB017F" w:rsidTr="009F24E6">
        <w:trPr>
          <w:trHeight w:val="565"/>
        </w:trPr>
        <w:tc>
          <w:tcPr>
            <w:tcW w:w="2486" w:type="dxa"/>
            <w:tcBorders>
              <w:top w:val="single" w:sz="4" w:space="0" w:color="auto"/>
              <w:left w:val="single" w:sz="4" w:space="0" w:color="auto"/>
              <w:bottom w:val="single" w:sz="4" w:space="0" w:color="auto"/>
              <w:right w:val="single" w:sz="4" w:space="0" w:color="auto"/>
            </w:tcBorders>
            <w:shd w:val="clear" w:color="auto" w:fill="auto"/>
          </w:tcPr>
          <w:p w:rsidR="00C83EEA" w:rsidRPr="00AB017F" w:rsidRDefault="00C83EEA" w:rsidP="009F24E6">
            <w:pPr>
              <w:rPr>
                <w:sz w:val="22"/>
                <w:szCs w:val="22"/>
              </w:rPr>
            </w:pPr>
            <w:r w:rsidRPr="00AB017F">
              <w:rPr>
                <w:sz w:val="22"/>
                <w:szCs w:val="22"/>
              </w:rPr>
              <w:t> </w:t>
            </w:r>
          </w:p>
        </w:tc>
        <w:tc>
          <w:tcPr>
            <w:tcW w:w="1339" w:type="dxa"/>
            <w:tcBorders>
              <w:top w:val="single" w:sz="4" w:space="0" w:color="auto"/>
              <w:left w:val="nil"/>
              <w:bottom w:val="single" w:sz="4" w:space="0" w:color="auto"/>
              <w:right w:val="single" w:sz="4" w:space="0" w:color="auto"/>
            </w:tcBorders>
            <w:shd w:val="clear" w:color="auto" w:fill="auto"/>
          </w:tcPr>
          <w:p w:rsidR="00C83EEA" w:rsidRDefault="00C83EEA" w:rsidP="009F24E6">
            <w:pPr>
              <w:jc w:val="center"/>
              <w:rPr>
                <w:sz w:val="22"/>
                <w:szCs w:val="22"/>
              </w:rPr>
            </w:pPr>
            <w:r>
              <w:rPr>
                <w:sz w:val="22"/>
                <w:szCs w:val="22"/>
              </w:rPr>
              <w:t>План на 2012</w:t>
            </w:r>
            <w:r w:rsidRPr="00AB017F">
              <w:rPr>
                <w:sz w:val="22"/>
                <w:szCs w:val="22"/>
              </w:rPr>
              <w:t>год</w:t>
            </w:r>
          </w:p>
          <w:p w:rsidR="00C83EEA" w:rsidRPr="00AB017F" w:rsidRDefault="00C83EEA" w:rsidP="009F24E6">
            <w:pPr>
              <w:jc w:val="center"/>
              <w:rPr>
                <w:sz w:val="22"/>
                <w:szCs w:val="22"/>
              </w:rPr>
            </w:pPr>
            <w:r>
              <w:rPr>
                <w:sz w:val="22"/>
                <w:szCs w:val="22"/>
              </w:rPr>
              <w:t>(по сост. на 01.10.2012)</w:t>
            </w:r>
          </w:p>
        </w:tc>
        <w:tc>
          <w:tcPr>
            <w:tcW w:w="1339" w:type="dxa"/>
            <w:tcBorders>
              <w:top w:val="single" w:sz="4" w:space="0" w:color="auto"/>
              <w:left w:val="nil"/>
              <w:bottom w:val="single" w:sz="4" w:space="0" w:color="auto"/>
              <w:right w:val="single" w:sz="4" w:space="0" w:color="auto"/>
            </w:tcBorders>
            <w:shd w:val="clear" w:color="auto" w:fill="auto"/>
          </w:tcPr>
          <w:p w:rsidR="00C83EEA" w:rsidRPr="00AB017F" w:rsidRDefault="00C83EEA" w:rsidP="009F24E6">
            <w:pPr>
              <w:jc w:val="center"/>
              <w:rPr>
                <w:sz w:val="22"/>
                <w:szCs w:val="22"/>
              </w:rPr>
            </w:pPr>
            <w:r w:rsidRPr="00AB017F">
              <w:rPr>
                <w:sz w:val="22"/>
                <w:szCs w:val="22"/>
              </w:rPr>
              <w:t>прогноз 201</w:t>
            </w:r>
            <w:r>
              <w:rPr>
                <w:sz w:val="22"/>
                <w:szCs w:val="22"/>
              </w:rPr>
              <w:t>3</w:t>
            </w:r>
            <w:r w:rsidRPr="00AB017F">
              <w:rPr>
                <w:sz w:val="22"/>
                <w:szCs w:val="22"/>
              </w:rPr>
              <w:t xml:space="preserve"> год</w:t>
            </w:r>
          </w:p>
        </w:tc>
        <w:tc>
          <w:tcPr>
            <w:tcW w:w="776" w:type="dxa"/>
            <w:tcBorders>
              <w:top w:val="single" w:sz="4" w:space="0" w:color="auto"/>
              <w:left w:val="nil"/>
              <w:bottom w:val="single" w:sz="4" w:space="0" w:color="auto"/>
              <w:right w:val="single" w:sz="4" w:space="0" w:color="auto"/>
            </w:tcBorders>
            <w:shd w:val="clear" w:color="auto" w:fill="auto"/>
          </w:tcPr>
          <w:p w:rsidR="00C83EEA" w:rsidRPr="00AB017F" w:rsidRDefault="00C83EEA" w:rsidP="009F24E6">
            <w:pPr>
              <w:rPr>
                <w:sz w:val="22"/>
                <w:szCs w:val="22"/>
              </w:rPr>
            </w:pPr>
            <w:proofErr w:type="spellStart"/>
            <w:r w:rsidRPr="00AB017F">
              <w:rPr>
                <w:sz w:val="22"/>
                <w:szCs w:val="22"/>
              </w:rPr>
              <w:t>Т</w:t>
            </w:r>
            <w:r>
              <w:rPr>
                <w:sz w:val="22"/>
                <w:szCs w:val="22"/>
              </w:rPr>
              <w:t>емп</w:t>
            </w:r>
            <w:r w:rsidRPr="00AB017F">
              <w:rPr>
                <w:sz w:val="22"/>
                <w:szCs w:val="22"/>
              </w:rPr>
              <w:t>р</w:t>
            </w:r>
            <w:r>
              <w:rPr>
                <w:sz w:val="22"/>
                <w:szCs w:val="22"/>
              </w:rPr>
              <w:t>оста</w:t>
            </w:r>
            <w:proofErr w:type="spellEnd"/>
            <w:r w:rsidRPr="00AB017F">
              <w:rPr>
                <w:sz w:val="22"/>
                <w:szCs w:val="22"/>
              </w:rPr>
              <w:t xml:space="preserve"> %</w:t>
            </w:r>
          </w:p>
        </w:tc>
        <w:tc>
          <w:tcPr>
            <w:tcW w:w="1339" w:type="dxa"/>
            <w:tcBorders>
              <w:top w:val="single" w:sz="4" w:space="0" w:color="auto"/>
              <w:left w:val="nil"/>
              <w:bottom w:val="single" w:sz="4" w:space="0" w:color="auto"/>
              <w:right w:val="single" w:sz="4" w:space="0" w:color="auto"/>
            </w:tcBorders>
            <w:shd w:val="clear" w:color="auto" w:fill="auto"/>
          </w:tcPr>
          <w:p w:rsidR="00C83EEA" w:rsidRPr="00AB017F" w:rsidRDefault="00C83EEA" w:rsidP="009F24E6">
            <w:pPr>
              <w:jc w:val="center"/>
              <w:rPr>
                <w:sz w:val="22"/>
                <w:szCs w:val="22"/>
              </w:rPr>
            </w:pPr>
            <w:r>
              <w:rPr>
                <w:sz w:val="22"/>
                <w:szCs w:val="22"/>
              </w:rPr>
              <w:t>прогноз 2014</w:t>
            </w:r>
            <w:r w:rsidRPr="00AB017F">
              <w:rPr>
                <w:sz w:val="22"/>
                <w:szCs w:val="22"/>
              </w:rPr>
              <w:t xml:space="preserve"> год</w:t>
            </w:r>
          </w:p>
        </w:tc>
        <w:tc>
          <w:tcPr>
            <w:tcW w:w="821" w:type="dxa"/>
            <w:tcBorders>
              <w:top w:val="single" w:sz="4" w:space="0" w:color="auto"/>
              <w:left w:val="nil"/>
              <w:bottom w:val="single" w:sz="4" w:space="0" w:color="auto"/>
              <w:right w:val="single" w:sz="4" w:space="0" w:color="auto"/>
            </w:tcBorders>
            <w:shd w:val="clear" w:color="auto" w:fill="auto"/>
          </w:tcPr>
          <w:p w:rsidR="00C83EEA" w:rsidRDefault="00C83EEA" w:rsidP="009F24E6">
            <w:pPr>
              <w:ind w:right="-108"/>
              <w:jc w:val="center"/>
              <w:rPr>
                <w:sz w:val="22"/>
                <w:szCs w:val="22"/>
              </w:rPr>
            </w:pPr>
            <w:r w:rsidRPr="00AB017F">
              <w:rPr>
                <w:sz w:val="22"/>
                <w:szCs w:val="22"/>
              </w:rPr>
              <w:t>Т</w:t>
            </w:r>
            <w:r>
              <w:rPr>
                <w:sz w:val="22"/>
                <w:szCs w:val="22"/>
              </w:rPr>
              <w:t>емп</w:t>
            </w:r>
          </w:p>
          <w:p w:rsidR="00C83EEA" w:rsidRPr="00AB017F" w:rsidRDefault="00C83EEA" w:rsidP="009F24E6">
            <w:pPr>
              <w:ind w:right="-175"/>
              <w:jc w:val="center"/>
              <w:rPr>
                <w:sz w:val="22"/>
                <w:szCs w:val="22"/>
              </w:rPr>
            </w:pPr>
            <w:r w:rsidRPr="00AB017F">
              <w:rPr>
                <w:sz w:val="22"/>
                <w:szCs w:val="22"/>
              </w:rPr>
              <w:t>р</w:t>
            </w:r>
            <w:r>
              <w:rPr>
                <w:sz w:val="22"/>
                <w:szCs w:val="22"/>
              </w:rPr>
              <w:t>оста</w:t>
            </w:r>
            <w:r w:rsidRPr="00AB017F">
              <w:rPr>
                <w:sz w:val="22"/>
                <w:szCs w:val="22"/>
              </w:rPr>
              <w:t>, %</w:t>
            </w:r>
          </w:p>
        </w:tc>
        <w:tc>
          <w:tcPr>
            <w:tcW w:w="1260" w:type="dxa"/>
            <w:tcBorders>
              <w:top w:val="single" w:sz="4" w:space="0" w:color="auto"/>
              <w:left w:val="nil"/>
              <w:bottom w:val="single" w:sz="4" w:space="0" w:color="auto"/>
              <w:right w:val="single" w:sz="4" w:space="0" w:color="auto"/>
            </w:tcBorders>
            <w:shd w:val="clear" w:color="auto" w:fill="auto"/>
          </w:tcPr>
          <w:p w:rsidR="00C83EEA" w:rsidRPr="00AB017F" w:rsidRDefault="00C83EEA" w:rsidP="009F24E6">
            <w:pPr>
              <w:jc w:val="center"/>
              <w:rPr>
                <w:sz w:val="22"/>
                <w:szCs w:val="22"/>
              </w:rPr>
            </w:pPr>
            <w:r w:rsidRPr="00AB017F">
              <w:rPr>
                <w:sz w:val="22"/>
                <w:szCs w:val="22"/>
              </w:rPr>
              <w:t>прогноз 201</w:t>
            </w:r>
            <w:r>
              <w:rPr>
                <w:sz w:val="22"/>
                <w:szCs w:val="22"/>
              </w:rPr>
              <w:t>5</w:t>
            </w:r>
            <w:r w:rsidRPr="00AB017F">
              <w:rPr>
                <w:sz w:val="22"/>
                <w:szCs w:val="22"/>
              </w:rPr>
              <w:t xml:space="preserve"> год</w:t>
            </w:r>
          </w:p>
        </w:tc>
        <w:tc>
          <w:tcPr>
            <w:tcW w:w="720" w:type="dxa"/>
            <w:tcBorders>
              <w:top w:val="single" w:sz="4" w:space="0" w:color="auto"/>
              <w:left w:val="nil"/>
              <w:bottom w:val="single" w:sz="4" w:space="0" w:color="auto"/>
              <w:right w:val="single" w:sz="4" w:space="0" w:color="auto"/>
            </w:tcBorders>
            <w:shd w:val="clear" w:color="auto" w:fill="auto"/>
          </w:tcPr>
          <w:p w:rsidR="00C83EEA" w:rsidRDefault="00C83EEA" w:rsidP="009F24E6">
            <w:pPr>
              <w:ind w:right="-108"/>
              <w:rPr>
                <w:sz w:val="22"/>
                <w:szCs w:val="22"/>
              </w:rPr>
            </w:pPr>
            <w:r w:rsidRPr="00AB017F">
              <w:rPr>
                <w:sz w:val="22"/>
                <w:szCs w:val="22"/>
              </w:rPr>
              <w:t>Т</w:t>
            </w:r>
            <w:r>
              <w:rPr>
                <w:sz w:val="22"/>
                <w:szCs w:val="22"/>
              </w:rPr>
              <w:t>емп</w:t>
            </w:r>
          </w:p>
          <w:p w:rsidR="00C83EEA" w:rsidRPr="00AB017F" w:rsidRDefault="00C83EEA" w:rsidP="009F24E6">
            <w:pPr>
              <w:ind w:right="-108"/>
              <w:jc w:val="center"/>
              <w:rPr>
                <w:sz w:val="22"/>
                <w:szCs w:val="22"/>
              </w:rPr>
            </w:pPr>
            <w:r w:rsidRPr="00AB017F">
              <w:rPr>
                <w:sz w:val="22"/>
                <w:szCs w:val="22"/>
              </w:rPr>
              <w:t>р</w:t>
            </w:r>
            <w:r>
              <w:rPr>
                <w:sz w:val="22"/>
                <w:szCs w:val="22"/>
              </w:rPr>
              <w:t>оста</w:t>
            </w:r>
            <w:r w:rsidRPr="00AB017F">
              <w:rPr>
                <w:sz w:val="22"/>
                <w:szCs w:val="22"/>
              </w:rPr>
              <w:t>, %</w:t>
            </w:r>
          </w:p>
        </w:tc>
      </w:tr>
      <w:tr w:rsidR="00C83EEA" w:rsidRPr="00AB017F" w:rsidTr="009F24E6">
        <w:trPr>
          <w:trHeight w:val="366"/>
        </w:trPr>
        <w:tc>
          <w:tcPr>
            <w:tcW w:w="2486" w:type="dxa"/>
            <w:tcBorders>
              <w:top w:val="nil"/>
              <w:left w:val="single" w:sz="4" w:space="0" w:color="auto"/>
              <w:bottom w:val="single" w:sz="4" w:space="0" w:color="auto"/>
              <w:right w:val="single" w:sz="4" w:space="0" w:color="auto"/>
            </w:tcBorders>
            <w:shd w:val="clear" w:color="auto" w:fill="auto"/>
          </w:tcPr>
          <w:p w:rsidR="00C83EEA" w:rsidRPr="00AB017F" w:rsidRDefault="00C83EEA" w:rsidP="009F24E6">
            <w:pPr>
              <w:rPr>
                <w:sz w:val="22"/>
                <w:szCs w:val="22"/>
              </w:rPr>
            </w:pPr>
            <w:r w:rsidRPr="00AB017F">
              <w:rPr>
                <w:sz w:val="22"/>
                <w:szCs w:val="22"/>
              </w:rPr>
              <w:t xml:space="preserve">Расходы всего, в </w:t>
            </w:r>
            <w:proofErr w:type="spellStart"/>
            <w:r w:rsidRPr="00AB017F">
              <w:rPr>
                <w:sz w:val="22"/>
                <w:szCs w:val="22"/>
              </w:rPr>
              <w:t>т.ч</w:t>
            </w:r>
            <w:proofErr w:type="spellEnd"/>
            <w:r w:rsidRPr="00AB017F">
              <w:rPr>
                <w:sz w:val="22"/>
                <w:szCs w:val="22"/>
              </w:rPr>
              <w:t>.:</w:t>
            </w:r>
          </w:p>
        </w:tc>
        <w:tc>
          <w:tcPr>
            <w:tcW w:w="1339" w:type="dxa"/>
            <w:tcBorders>
              <w:top w:val="nil"/>
              <w:left w:val="nil"/>
              <w:bottom w:val="single" w:sz="4" w:space="0" w:color="auto"/>
              <w:right w:val="single" w:sz="4" w:space="0" w:color="auto"/>
            </w:tcBorders>
            <w:shd w:val="clear" w:color="auto" w:fill="auto"/>
          </w:tcPr>
          <w:p w:rsidR="00C83EEA" w:rsidRPr="00AB017F" w:rsidRDefault="00C83EEA" w:rsidP="009F24E6">
            <w:pPr>
              <w:jc w:val="right"/>
              <w:rPr>
                <w:sz w:val="20"/>
                <w:szCs w:val="20"/>
              </w:rPr>
            </w:pPr>
            <w:r>
              <w:rPr>
                <w:sz w:val="20"/>
                <w:szCs w:val="20"/>
              </w:rPr>
              <w:t>42 224 488,2</w:t>
            </w:r>
          </w:p>
        </w:tc>
        <w:tc>
          <w:tcPr>
            <w:tcW w:w="1339" w:type="dxa"/>
            <w:tcBorders>
              <w:top w:val="nil"/>
              <w:left w:val="nil"/>
              <w:bottom w:val="single" w:sz="4" w:space="0" w:color="auto"/>
              <w:right w:val="single" w:sz="4" w:space="0" w:color="auto"/>
            </w:tcBorders>
            <w:shd w:val="clear" w:color="auto" w:fill="auto"/>
          </w:tcPr>
          <w:p w:rsidR="00C83EEA" w:rsidRPr="00AB017F" w:rsidRDefault="00C83EEA" w:rsidP="009F24E6">
            <w:pPr>
              <w:jc w:val="right"/>
              <w:rPr>
                <w:sz w:val="20"/>
                <w:szCs w:val="20"/>
              </w:rPr>
            </w:pPr>
            <w:r>
              <w:rPr>
                <w:sz w:val="20"/>
                <w:szCs w:val="20"/>
              </w:rPr>
              <w:t>40 511 270,1</w:t>
            </w:r>
          </w:p>
        </w:tc>
        <w:tc>
          <w:tcPr>
            <w:tcW w:w="776" w:type="dxa"/>
            <w:tcBorders>
              <w:top w:val="nil"/>
              <w:left w:val="nil"/>
              <w:bottom w:val="single" w:sz="4" w:space="0" w:color="auto"/>
              <w:right w:val="single" w:sz="4" w:space="0" w:color="auto"/>
            </w:tcBorders>
            <w:shd w:val="clear" w:color="auto" w:fill="auto"/>
          </w:tcPr>
          <w:p w:rsidR="00C83EEA" w:rsidRPr="00AB017F" w:rsidRDefault="00C83EEA" w:rsidP="009F24E6">
            <w:pPr>
              <w:ind w:right="-108"/>
              <w:jc w:val="center"/>
              <w:rPr>
                <w:sz w:val="20"/>
                <w:szCs w:val="20"/>
              </w:rPr>
            </w:pPr>
            <w:r>
              <w:rPr>
                <w:sz w:val="20"/>
                <w:szCs w:val="20"/>
              </w:rPr>
              <w:t>95,9</w:t>
            </w:r>
          </w:p>
        </w:tc>
        <w:tc>
          <w:tcPr>
            <w:tcW w:w="1339" w:type="dxa"/>
            <w:tcBorders>
              <w:top w:val="nil"/>
              <w:left w:val="nil"/>
              <w:bottom w:val="single" w:sz="4" w:space="0" w:color="auto"/>
              <w:right w:val="single" w:sz="4" w:space="0" w:color="auto"/>
            </w:tcBorders>
            <w:shd w:val="clear" w:color="auto" w:fill="auto"/>
          </w:tcPr>
          <w:p w:rsidR="00C83EEA" w:rsidRPr="00AB017F" w:rsidRDefault="00C83EEA" w:rsidP="009F24E6">
            <w:pPr>
              <w:jc w:val="right"/>
              <w:rPr>
                <w:sz w:val="20"/>
                <w:szCs w:val="20"/>
              </w:rPr>
            </w:pPr>
            <w:r>
              <w:rPr>
                <w:sz w:val="20"/>
                <w:szCs w:val="20"/>
              </w:rPr>
              <w:t>43 862 968,4</w:t>
            </w:r>
          </w:p>
        </w:tc>
        <w:tc>
          <w:tcPr>
            <w:tcW w:w="821" w:type="dxa"/>
            <w:tcBorders>
              <w:top w:val="nil"/>
              <w:left w:val="nil"/>
              <w:bottom w:val="single" w:sz="4" w:space="0" w:color="auto"/>
              <w:right w:val="single" w:sz="4" w:space="0" w:color="auto"/>
            </w:tcBorders>
            <w:shd w:val="clear" w:color="auto" w:fill="auto"/>
          </w:tcPr>
          <w:p w:rsidR="00C83EEA" w:rsidRPr="00AB017F" w:rsidRDefault="00C83EEA" w:rsidP="009F24E6">
            <w:pPr>
              <w:ind w:right="-108"/>
              <w:jc w:val="center"/>
              <w:rPr>
                <w:sz w:val="20"/>
                <w:szCs w:val="20"/>
              </w:rPr>
            </w:pPr>
            <w:r>
              <w:rPr>
                <w:sz w:val="20"/>
                <w:szCs w:val="20"/>
              </w:rPr>
              <w:t>108,3</w:t>
            </w:r>
          </w:p>
        </w:tc>
        <w:tc>
          <w:tcPr>
            <w:tcW w:w="1260" w:type="dxa"/>
            <w:tcBorders>
              <w:top w:val="nil"/>
              <w:left w:val="nil"/>
              <w:bottom w:val="single" w:sz="4" w:space="0" w:color="auto"/>
              <w:right w:val="single" w:sz="4" w:space="0" w:color="auto"/>
            </w:tcBorders>
            <w:shd w:val="clear" w:color="auto" w:fill="auto"/>
          </w:tcPr>
          <w:p w:rsidR="00C83EEA" w:rsidRPr="00AB017F" w:rsidRDefault="00C83EEA" w:rsidP="009F24E6">
            <w:pPr>
              <w:ind w:left="-108"/>
              <w:jc w:val="right"/>
              <w:rPr>
                <w:sz w:val="20"/>
                <w:szCs w:val="20"/>
              </w:rPr>
            </w:pPr>
            <w:r>
              <w:rPr>
                <w:sz w:val="20"/>
                <w:szCs w:val="20"/>
              </w:rPr>
              <w:t>46 563 567,6</w:t>
            </w:r>
          </w:p>
        </w:tc>
        <w:tc>
          <w:tcPr>
            <w:tcW w:w="720" w:type="dxa"/>
            <w:tcBorders>
              <w:top w:val="nil"/>
              <w:left w:val="nil"/>
              <w:bottom w:val="single" w:sz="4" w:space="0" w:color="auto"/>
              <w:right w:val="single" w:sz="4" w:space="0" w:color="auto"/>
            </w:tcBorders>
            <w:shd w:val="clear" w:color="auto" w:fill="auto"/>
          </w:tcPr>
          <w:p w:rsidR="00C83EEA" w:rsidRPr="00AB017F" w:rsidRDefault="00C83EEA" w:rsidP="009F24E6">
            <w:pPr>
              <w:ind w:right="-108"/>
              <w:rPr>
                <w:sz w:val="20"/>
                <w:szCs w:val="20"/>
              </w:rPr>
            </w:pPr>
            <w:r>
              <w:rPr>
                <w:sz w:val="20"/>
                <w:szCs w:val="20"/>
              </w:rPr>
              <w:t>106,2</w:t>
            </w:r>
          </w:p>
        </w:tc>
      </w:tr>
      <w:tr w:rsidR="00C83EEA" w:rsidRPr="00AB017F" w:rsidTr="009F24E6">
        <w:trPr>
          <w:trHeight w:val="458"/>
        </w:trPr>
        <w:tc>
          <w:tcPr>
            <w:tcW w:w="2486" w:type="dxa"/>
            <w:tcBorders>
              <w:top w:val="nil"/>
              <w:left w:val="single" w:sz="4" w:space="0" w:color="auto"/>
              <w:bottom w:val="single" w:sz="4" w:space="0" w:color="auto"/>
              <w:right w:val="single" w:sz="4" w:space="0" w:color="auto"/>
            </w:tcBorders>
            <w:shd w:val="clear" w:color="auto" w:fill="auto"/>
          </w:tcPr>
          <w:p w:rsidR="00C83EEA" w:rsidRPr="00AB017F" w:rsidRDefault="00C83EEA" w:rsidP="009F24E6">
            <w:pPr>
              <w:jc w:val="right"/>
              <w:rPr>
                <w:sz w:val="22"/>
                <w:szCs w:val="22"/>
              </w:rPr>
            </w:pPr>
            <w:r w:rsidRPr="00AB017F">
              <w:rPr>
                <w:sz w:val="22"/>
                <w:szCs w:val="22"/>
              </w:rPr>
              <w:t>за счет безвозмездных поступлений, из них:</w:t>
            </w:r>
          </w:p>
        </w:tc>
        <w:tc>
          <w:tcPr>
            <w:tcW w:w="1339" w:type="dxa"/>
            <w:tcBorders>
              <w:top w:val="nil"/>
              <w:left w:val="nil"/>
              <w:bottom w:val="single" w:sz="4" w:space="0" w:color="auto"/>
              <w:right w:val="single" w:sz="4" w:space="0" w:color="auto"/>
            </w:tcBorders>
            <w:shd w:val="clear" w:color="auto" w:fill="auto"/>
          </w:tcPr>
          <w:p w:rsidR="00C83EEA" w:rsidRPr="00AB017F" w:rsidRDefault="00C83EEA" w:rsidP="009F24E6">
            <w:pPr>
              <w:jc w:val="right"/>
              <w:rPr>
                <w:sz w:val="20"/>
                <w:szCs w:val="20"/>
              </w:rPr>
            </w:pPr>
            <w:r>
              <w:rPr>
                <w:sz w:val="20"/>
                <w:szCs w:val="20"/>
              </w:rPr>
              <w:t>8 504 305,9</w:t>
            </w:r>
          </w:p>
        </w:tc>
        <w:tc>
          <w:tcPr>
            <w:tcW w:w="1339" w:type="dxa"/>
            <w:tcBorders>
              <w:top w:val="nil"/>
              <w:left w:val="nil"/>
              <w:bottom w:val="single" w:sz="4" w:space="0" w:color="auto"/>
              <w:right w:val="single" w:sz="4" w:space="0" w:color="auto"/>
            </w:tcBorders>
            <w:shd w:val="clear" w:color="auto" w:fill="auto"/>
          </w:tcPr>
          <w:p w:rsidR="00C83EEA" w:rsidRPr="00AB017F" w:rsidRDefault="00C83EEA" w:rsidP="009F24E6">
            <w:pPr>
              <w:jc w:val="right"/>
              <w:rPr>
                <w:sz w:val="20"/>
                <w:szCs w:val="20"/>
              </w:rPr>
            </w:pPr>
            <w:r>
              <w:rPr>
                <w:sz w:val="20"/>
                <w:szCs w:val="20"/>
              </w:rPr>
              <w:t>3 968 664,1</w:t>
            </w:r>
          </w:p>
        </w:tc>
        <w:tc>
          <w:tcPr>
            <w:tcW w:w="776" w:type="dxa"/>
            <w:tcBorders>
              <w:top w:val="nil"/>
              <w:left w:val="nil"/>
              <w:bottom w:val="single" w:sz="4" w:space="0" w:color="auto"/>
              <w:right w:val="single" w:sz="4" w:space="0" w:color="auto"/>
            </w:tcBorders>
            <w:shd w:val="clear" w:color="auto" w:fill="auto"/>
          </w:tcPr>
          <w:p w:rsidR="00C83EEA" w:rsidRPr="00AB017F" w:rsidRDefault="00C83EEA" w:rsidP="009F24E6">
            <w:pPr>
              <w:jc w:val="center"/>
              <w:rPr>
                <w:sz w:val="20"/>
                <w:szCs w:val="20"/>
              </w:rPr>
            </w:pPr>
            <w:r>
              <w:rPr>
                <w:sz w:val="20"/>
                <w:szCs w:val="20"/>
              </w:rPr>
              <w:t>46,7</w:t>
            </w:r>
          </w:p>
        </w:tc>
        <w:tc>
          <w:tcPr>
            <w:tcW w:w="1339" w:type="dxa"/>
            <w:tcBorders>
              <w:top w:val="nil"/>
              <w:left w:val="nil"/>
              <w:bottom w:val="single" w:sz="4" w:space="0" w:color="auto"/>
              <w:right w:val="single" w:sz="4" w:space="0" w:color="auto"/>
            </w:tcBorders>
            <w:shd w:val="clear" w:color="auto" w:fill="auto"/>
          </w:tcPr>
          <w:p w:rsidR="00C83EEA" w:rsidRPr="00AB017F" w:rsidRDefault="00C83EEA" w:rsidP="009F24E6">
            <w:pPr>
              <w:jc w:val="right"/>
              <w:rPr>
                <w:sz w:val="20"/>
                <w:szCs w:val="20"/>
              </w:rPr>
            </w:pPr>
            <w:r>
              <w:rPr>
                <w:sz w:val="20"/>
                <w:szCs w:val="20"/>
              </w:rPr>
              <w:t>2 852 910,4</w:t>
            </w:r>
          </w:p>
        </w:tc>
        <w:tc>
          <w:tcPr>
            <w:tcW w:w="821" w:type="dxa"/>
            <w:tcBorders>
              <w:top w:val="nil"/>
              <w:left w:val="nil"/>
              <w:bottom w:val="single" w:sz="4" w:space="0" w:color="auto"/>
              <w:right w:val="single" w:sz="4" w:space="0" w:color="auto"/>
            </w:tcBorders>
            <w:shd w:val="clear" w:color="auto" w:fill="auto"/>
          </w:tcPr>
          <w:p w:rsidR="00C83EEA" w:rsidRPr="00AB017F" w:rsidRDefault="00C83EEA" w:rsidP="009F24E6">
            <w:pPr>
              <w:ind w:right="-108"/>
              <w:jc w:val="center"/>
              <w:rPr>
                <w:sz w:val="20"/>
                <w:szCs w:val="20"/>
              </w:rPr>
            </w:pPr>
            <w:r>
              <w:rPr>
                <w:sz w:val="20"/>
                <w:szCs w:val="20"/>
              </w:rPr>
              <w:t>71,9</w:t>
            </w:r>
          </w:p>
        </w:tc>
        <w:tc>
          <w:tcPr>
            <w:tcW w:w="1260" w:type="dxa"/>
            <w:tcBorders>
              <w:top w:val="nil"/>
              <w:left w:val="nil"/>
              <w:bottom w:val="single" w:sz="4" w:space="0" w:color="auto"/>
              <w:right w:val="single" w:sz="4" w:space="0" w:color="auto"/>
            </w:tcBorders>
            <w:shd w:val="clear" w:color="auto" w:fill="auto"/>
          </w:tcPr>
          <w:p w:rsidR="00C83EEA" w:rsidRPr="00AB017F" w:rsidRDefault="00C83EEA" w:rsidP="009F24E6">
            <w:pPr>
              <w:jc w:val="center"/>
              <w:rPr>
                <w:sz w:val="20"/>
                <w:szCs w:val="20"/>
              </w:rPr>
            </w:pPr>
            <w:r>
              <w:rPr>
                <w:sz w:val="20"/>
                <w:szCs w:val="20"/>
              </w:rPr>
              <w:t>8 185,6</w:t>
            </w:r>
          </w:p>
        </w:tc>
        <w:tc>
          <w:tcPr>
            <w:tcW w:w="720" w:type="dxa"/>
            <w:tcBorders>
              <w:top w:val="nil"/>
              <w:left w:val="nil"/>
              <w:bottom w:val="single" w:sz="4" w:space="0" w:color="auto"/>
              <w:right w:val="single" w:sz="4" w:space="0" w:color="auto"/>
            </w:tcBorders>
            <w:shd w:val="clear" w:color="auto" w:fill="auto"/>
          </w:tcPr>
          <w:p w:rsidR="00C83EEA" w:rsidRPr="00AB017F" w:rsidRDefault="00C83EEA" w:rsidP="009F24E6">
            <w:pPr>
              <w:ind w:right="-108"/>
              <w:rPr>
                <w:sz w:val="20"/>
                <w:szCs w:val="20"/>
              </w:rPr>
            </w:pPr>
            <w:r>
              <w:rPr>
                <w:sz w:val="20"/>
                <w:szCs w:val="20"/>
              </w:rPr>
              <w:t>0,3</w:t>
            </w:r>
            <w:r w:rsidRPr="00AB017F">
              <w:rPr>
                <w:sz w:val="20"/>
                <w:szCs w:val="20"/>
              </w:rPr>
              <w:t> </w:t>
            </w:r>
          </w:p>
        </w:tc>
      </w:tr>
      <w:tr w:rsidR="00C83EEA" w:rsidRPr="00AB017F" w:rsidTr="009F24E6">
        <w:trPr>
          <w:trHeight w:val="458"/>
        </w:trPr>
        <w:tc>
          <w:tcPr>
            <w:tcW w:w="2486" w:type="dxa"/>
            <w:tcBorders>
              <w:top w:val="single" w:sz="4" w:space="0" w:color="auto"/>
              <w:left w:val="single" w:sz="4" w:space="0" w:color="auto"/>
              <w:bottom w:val="single" w:sz="4" w:space="0" w:color="auto"/>
              <w:right w:val="single" w:sz="4" w:space="0" w:color="auto"/>
            </w:tcBorders>
            <w:shd w:val="clear" w:color="auto" w:fill="auto"/>
          </w:tcPr>
          <w:p w:rsidR="00C83EEA" w:rsidRPr="00AB017F" w:rsidRDefault="00C83EEA" w:rsidP="009F24E6">
            <w:pPr>
              <w:jc w:val="right"/>
              <w:rPr>
                <w:sz w:val="22"/>
                <w:szCs w:val="22"/>
              </w:rPr>
            </w:pPr>
            <w:r w:rsidRPr="00AB017F">
              <w:rPr>
                <w:sz w:val="22"/>
                <w:szCs w:val="22"/>
              </w:rPr>
              <w:t>дотации</w:t>
            </w:r>
          </w:p>
        </w:tc>
        <w:tc>
          <w:tcPr>
            <w:tcW w:w="1339" w:type="dxa"/>
            <w:tcBorders>
              <w:top w:val="single" w:sz="4" w:space="0" w:color="auto"/>
              <w:left w:val="nil"/>
              <w:bottom w:val="single" w:sz="4" w:space="0" w:color="auto"/>
              <w:right w:val="single" w:sz="4" w:space="0" w:color="auto"/>
            </w:tcBorders>
            <w:shd w:val="clear" w:color="auto" w:fill="auto"/>
          </w:tcPr>
          <w:p w:rsidR="00C83EEA" w:rsidRPr="00AB017F" w:rsidRDefault="00C83EEA" w:rsidP="009F24E6">
            <w:pPr>
              <w:jc w:val="right"/>
              <w:rPr>
                <w:sz w:val="20"/>
                <w:szCs w:val="20"/>
              </w:rPr>
            </w:pPr>
            <w:r>
              <w:rPr>
                <w:sz w:val="20"/>
                <w:szCs w:val="20"/>
              </w:rPr>
              <w:t>2 958 019,1</w:t>
            </w:r>
          </w:p>
        </w:tc>
        <w:tc>
          <w:tcPr>
            <w:tcW w:w="1339" w:type="dxa"/>
            <w:tcBorders>
              <w:top w:val="single" w:sz="4" w:space="0" w:color="auto"/>
              <w:left w:val="nil"/>
              <w:bottom w:val="single" w:sz="4" w:space="0" w:color="auto"/>
              <w:right w:val="single" w:sz="4" w:space="0" w:color="auto"/>
            </w:tcBorders>
            <w:shd w:val="clear" w:color="auto" w:fill="auto"/>
          </w:tcPr>
          <w:p w:rsidR="00C83EEA" w:rsidRPr="00AB017F" w:rsidRDefault="00C83EEA" w:rsidP="009F24E6">
            <w:pPr>
              <w:jc w:val="right"/>
              <w:rPr>
                <w:sz w:val="20"/>
                <w:szCs w:val="20"/>
              </w:rPr>
            </w:pPr>
            <w:r>
              <w:rPr>
                <w:sz w:val="20"/>
                <w:szCs w:val="20"/>
              </w:rPr>
              <w:t>1 678 500,3</w:t>
            </w:r>
          </w:p>
        </w:tc>
        <w:tc>
          <w:tcPr>
            <w:tcW w:w="776" w:type="dxa"/>
            <w:tcBorders>
              <w:top w:val="single" w:sz="4" w:space="0" w:color="auto"/>
              <w:left w:val="nil"/>
              <w:bottom w:val="single" w:sz="4" w:space="0" w:color="auto"/>
              <w:right w:val="single" w:sz="4" w:space="0" w:color="auto"/>
            </w:tcBorders>
            <w:shd w:val="clear" w:color="auto" w:fill="auto"/>
          </w:tcPr>
          <w:p w:rsidR="00C83EEA" w:rsidRPr="00AB017F" w:rsidRDefault="00C83EEA" w:rsidP="009F24E6">
            <w:pPr>
              <w:jc w:val="center"/>
              <w:rPr>
                <w:sz w:val="20"/>
                <w:szCs w:val="20"/>
              </w:rPr>
            </w:pPr>
            <w:r>
              <w:rPr>
                <w:sz w:val="20"/>
                <w:szCs w:val="20"/>
              </w:rPr>
              <w:t>56,7</w:t>
            </w:r>
          </w:p>
        </w:tc>
        <w:tc>
          <w:tcPr>
            <w:tcW w:w="1339" w:type="dxa"/>
            <w:tcBorders>
              <w:top w:val="single" w:sz="4" w:space="0" w:color="auto"/>
              <w:left w:val="nil"/>
              <w:bottom w:val="single" w:sz="4" w:space="0" w:color="auto"/>
              <w:right w:val="single" w:sz="4" w:space="0" w:color="auto"/>
            </w:tcBorders>
            <w:shd w:val="clear" w:color="auto" w:fill="auto"/>
          </w:tcPr>
          <w:p w:rsidR="00C83EEA" w:rsidRPr="00AB017F" w:rsidRDefault="00C83EEA" w:rsidP="009F24E6">
            <w:pPr>
              <w:jc w:val="right"/>
              <w:rPr>
                <w:sz w:val="20"/>
                <w:szCs w:val="20"/>
              </w:rPr>
            </w:pPr>
            <w:r>
              <w:rPr>
                <w:sz w:val="20"/>
                <w:szCs w:val="20"/>
              </w:rPr>
              <w:t>869 864,4</w:t>
            </w:r>
          </w:p>
        </w:tc>
        <w:tc>
          <w:tcPr>
            <w:tcW w:w="821" w:type="dxa"/>
            <w:tcBorders>
              <w:top w:val="single" w:sz="4" w:space="0" w:color="auto"/>
              <w:left w:val="nil"/>
              <w:bottom w:val="single" w:sz="4" w:space="0" w:color="auto"/>
              <w:right w:val="single" w:sz="4" w:space="0" w:color="auto"/>
            </w:tcBorders>
            <w:shd w:val="clear" w:color="auto" w:fill="auto"/>
          </w:tcPr>
          <w:p w:rsidR="00C83EEA" w:rsidRPr="00AB017F" w:rsidRDefault="00C83EEA" w:rsidP="009F24E6">
            <w:pPr>
              <w:ind w:right="-108"/>
              <w:jc w:val="center"/>
              <w:rPr>
                <w:sz w:val="20"/>
                <w:szCs w:val="20"/>
              </w:rPr>
            </w:pPr>
            <w:r>
              <w:rPr>
                <w:sz w:val="20"/>
                <w:szCs w:val="20"/>
              </w:rPr>
              <w:t>51,8</w:t>
            </w:r>
          </w:p>
        </w:tc>
        <w:tc>
          <w:tcPr>
            <w:tcW w:w="1260" w:type="dxa"/>
            <w:tcBorders>
              <w:top w:val="single" w:sz="4" w:space="0" w:color="auto"/>
              <w:left w:val="nil"/>
              <w:bottom w:val="single" w:sz="4" w:space="0" w:color="auto"/>
              <w:right w:val="single" w:sz="4" w:space="0" w:color="auto"/>
            </w:tcBorders>
            <w:shd w:val="clear" w:color="auto" w:fill="auto"/>
          </w:tcPr>
          <w:p w:rsidR="00C83EEA" w:rsidRPr="00AB017F" w:rsidRDefault="00C83EEA" w:rsidP="009F24E6">
            <w:pPr>
              <w:jc w:val="center"/>
              <w:rPr>
                <w:sz w:val="20"/>
                <w:szCs w:val="20"/>
              </w:rPr>
            </w:pPr>
            <w:r>
              <w:rPr>
                <w:sz w:val="20"/>
                <w:szCs w:val="20"/>
              </w:rPr>
              <w:t>0</w:t>
            </w:r>
          </w:p>
        </w:tc>
        <w:tc>
          <w:tcPr>
            <w:tcW w:w="720" w:type="dxa"/>
            <w:tcBorders>
              <w:top w:val="single" w:sz="4" w:space="0" w:color="auto"/>
              <w:left w:val="nil"/>
              <w:bottom w:val="single" w:sz="4" w:space="0" w:color="auto"/>
              <w:right w:val="single" w:sz="4" w:space="0" w:color="auto"/>
            </w:tcBorders>
            <w:shd w:val="clear" w:color="auto" w:fill="auto"/>
          </w:tcPr>
          <w:p w:rsidR="00C83EEA" w:rsidRPr="00AB017F" w:rsidRDefault="00C83EEA" w:rsidP="009F24E6">
            <w:pPr>
              <w:ind w:right="-108"/>
              <w:rPr>
                <w:sz w:val="20"/>
                <w:szCs w:val="20"/>
              </w:rPr>
            </w:pPr>
            <w:r w:rsidRPr="00AB017F">
              <w:rPr>
                <w:sz w:val="20"/>
                <w:szCs w:val="20"/>
              </w:rPr>
              <w:t> </w:t>
            </w:r>
          </w:p>
        </w:tc>
      </w:tr>
      <w:tr w:rsidR="00C83EEA" w:rsidRPr="00AB017F" w:rsidTr="009F24E6">
        <w:trPr>
          <w:trHeight w:val="458"/>
        </w:trPr>
        <w:tc>
          <w:tcPr>
            <w:tcW w:w="2486" w:type="dxa"/>
            <w:tcBorders>
              <w:top w:val="single" w:sz="4" w:space="0" w:color="auto"/>
              <w:left w:val="single" w:sz="4" w:space="0" w:color="auto"/>
              <w:bottom w:val="single" w:sz="4" w:space="0" w:color="auto"/>
              <w:right w:val="single" w:sz="4" w:space="0" w:color="auto"/>
            </w:tcBorders>
            <w:shd w:val="clear" w:color="auto" w:fill="auto"/>
          </w:tcPr>
          <w:p w:rsidR="00C83EEA" w:rsidRPr="00AB017F" w:rsidRDefault="00C83EEA" w:rsidP="009F24E6">
            <w:pPr>
              <w:jc w:val="right"/>
              <w:rPr>
                <w:sz w:val="22"/>
                <w:szCs w:val="22"/>
              </w:rPr>
            </w:pPr>
            <w:r w:rsidRPr="00AB017F">
              <w:rPr>
                <w:sz w:val="22"/>
                <w:szCs w:val="22"/>
              </w:rPr>
              <w:t>субсидии</w:t>
            </w:r>
          </w:p>
        </w:tc>
        <w:tc>
          <w:tcPr>
            <w:tcW w:w="1339" w:type="dxa"/>
            <w:tcBorders>
              <w:top w:val="single" w:sz="4" w:space="0" w:color="auto"/>
              <w:left w:val="single" w:sz="4" w:space="0" w:color="auto"/>
              <w:bottom w:val="single" w:sz="4" w:space="0" w:color="auto"/>
              <w:right w:val="single" w:sz="4" w:space="0" w:color="auto"/>
            </w:tcBorders>
            <w:shd w:val="clear" w:color="auto" w:fill="auto"/>
          </w:tcPr>
          <w:p w:rsidR="00C83EEA" w:rsidRPr="00AB017F" w:rsidRDefault="00C83EEA" w:rsidP="009F24E6">
            <w:pPr>
              <w:jc w:val="right"/>
              <w:rPr>
                <w:sz w:val="20"/>
                <w:szCs w:val="20"/>
              </w:rPr>
            </w:pPr>
            <w:r>
              <w:rPr>
                <w:sz w:val="20"/>
                <w:szCs w:val="20"/>
              </w:rPr>
              <w:t>2 726 201,1</w:t>
            </w:r>
          </w:p>
        </w:tc>
        <w:tc>
          <w:tcPr>
            <w:tcW w:w="1339" w:type="dxa"/>
            <w:tcBorders>
              <w:top w:val="single" w:sz="4" w:space="0" w:color="auto"/>
              <w:left w:val="single" w:sz="4" w:space="0" w:color="auto"/>
              <w:bottom w:val="single" w:sz="4" w:space="0" w:color="auto"/>
              <w:right w:val="single" w:sz="4" w:space="0" w:color="auto"/>
            </w:tcBorders>
            <w:shd w:val="clear" w:color="auto" w:fill="auto"/>
          </w:tcPr>
          <w:p w:rsidR="00C83EEA" w:rsidRPr="00AB017F" w:rsidRDefault="00C83EEA" w:rsidP="009F24E6">
            <w:pPr>
              <w:jc w:val="right"/>
              <w:rPr>
                <w:sz w:val="20"/>
                <w:szCs w:val="20"/>
              </w:rPr>
            </w:pPr>
            <w:r>
              <w:rPr>
                <w:sz w:val="20"/>
                <w:szCs w:val="20"/>
              </w:rPr>
              <w:t>402 698,6</w:t>
            </w:r>
          </w:p>
        </w:tc>
        <w:tc>
          <w:tcPr>
            <w:tcW w:w="776" w:type="dxa"/>
            <w:tcBorders>
              <w:top w:val="single" w:sz="4" w:space="0" w:color="auto"/>
              <w:left w:val="single" w:sz="4" w:space="0" w:color="auto"/>
              <w:bottom w:val="single" w:sz="4" w:space="0" w:color="auto"/>
              <w:right w:val="single" w:sz="4" w:space="0" w:color="auto"/>
            </w:tcBorders>
            <w:shd w:val="clear" w:color="auto" w:fill="auto"/>
          </w:tcPr>
          <w:p w:rsidR="00C83EEA" w:rsidRPr="00AB017F" w:rsidRDefault="00C83EEA" w:rsidP="009F24E6">
            <w:pPr>
              <w:jc w:val="center"/>
              <w:rPr>
                <w:sz w:val="20"/>
                <w:szCs w:val="20"/>
              </w:rPr>
            </w:pPr>
            <w:r>
              <w:rPr>
                <w:sz w:val="20"/>
                <w:szCs w:val="20"/>
              </w:rPr>
              <w:t>14,8</w:t>
            </w:r>
          </w:p>
        </w:tc>
        <w:tc>
          <w:tcPr>
            <w:tcW w:w="1339" w:type="dxa"/>
            <w:tcBorders>
              <w:top w:val="single" w:sz="4" w:space="0" w:color="auto"/>
              <w:left w:val="single" w:sz="4" w:space="0" w:color="auto"/>
              <w:bottom w:val="single" w:sz="4" w:space="0" w:color="auto"/>
              <w:right w:val="single" w:sz="4" w:space="0" w:color="auto"/>
            </w:tcBorders>
            <w:shd w:val="clear" w:color="auto" w:fill="auto"/>
          </w:tcPr>
          <w:p w:rsidR="00C83EEA" w:rsidRPr="00AB017F" w:rsidRDefault="00C83EEA" w:rsidP="009F24E6">
            <w:pPr>
              <w:jc w:val="right"/>
              <w:rPr>
                <w:sz w:val="20"/>
                <w:szCs w:val="20"/>
              </w:rPr>
            </w:pPr>
            <w:r>
              <w:rPr>
                <w:sz w:val="20"/>
                <w:szCs w:val="20"/>
              </w:rPr>
              <w:t>43 884,4</w:t>
            </w:r>
          </w:p>
        </w:tc>
        <w:tc>
          <w:tcPr>
            <w:tcW w:w="821" w:type="dxa"/>
            <w:tcBorders>
              <w:top w:val="single" w:sz="4" w:space="0" w:color="auto"/>
              <w:left w:val="single" w:sz="4" w:space="0" w:color="auto"/>
              <w:bottom w:val="single" w:sz="4" w:space="0" w:color="auto"/>
              <w:right w:val="single" w:sz="4" w:space="0" w:color="auto"/>
            </w:tcBorders>
            <w:shd w:val="clear" w:color="auto" w:fill="auto"/>
          </w:tcPr>
          <w:p w:rsidR="00C83EEA" w:rsidRPr="00AB017F" w:rsidRDefault="00C83EEA" w:rsidP="009F24E6">
            <w:pPr>
              <w:ind w:right="-108"/>
              <w:jc w:val="center"/>
              <w:rPr>
                <w:sz w:val="20"/>
                <w:szCs w:val="20"/>
              </w:rPr>
            </w:pPr>
            <w:r>
              <w:rPr>
                <w:sz w:val="20"/>
                <w:szCs w:val="20"/>
              </w:rPr>
              <w:t>10,9</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C83EEA" w:rsidRPr="00AB017F" w:rsidRDefault="00C83EEA" w:rsidP="009F24E6">
            <w:pPr>
              <w:jc w:val="center"/>
              <w:rPr>
                <w:sz w:val="20"/>
                <w:szCs w:val="20"/>
              </w:rPr>
            </w:pPr>
            <w:r>
              <w:rPr>
                <w:sz w:val="20"/>
                <w:szCs w:val="20"/>
              </w:rPr>
              <w:t>0</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C83EEA" w:rsidRPr="00AB017F" w:rsidRDefault="00C83EEA" w:rsidP="009F24E6">
            <w:pPr>
              <w:ind w:right="-108"/>
              <w:rPr>
                <w:sz w:val="20"/>
                <w:szCs w:val="20"/>
              </w:rPr>
            </w:pPr>
            <w:r w:rsidRPr="00AB017F">
              <w:rPr>
                <w:sz w:val="20"/>
                <w:szCs w:val="20"/>
              </w:rPr>
              <w:t> </w:t>
            </w:r>
          </w:p>
        </w:tc>
      </w:tr>
      <w:tr w:rsidR="00C83EEA" w:rsidRPr="00AB017F" w:rsidTr="009F24E6">
        <w:trPr>
          <w:trHeight w:val="458"/>
        </w:trPr>
        <w:tc>
          <w:tcPr>
            <w:tcW w:w="2486" w:type="dxa"/>
            <w:tcBorders>
              <w:top w:val="single" w:sz="4" w:space="0" w:color="auto"/>
              <w:left w:val="single" w:sz="4" w:space="0" w:color="auto"/>
              <w:bottom w:val="single" w:sz="4" w:space="0" w:color="auto"/>
              <w:right w:val="single" w:sz="4" w:space="0" w:color="auto"/>
            </w:tcBorders>
            <w:shd w:val="clear" w:color="auto" w:fill="auto"/>
          </w:tcPr>
          <w:p w:rsidR="00C83EEA" w:rsidRPr="00AB017F" w:rsidRDefault="00C83EEA" w:rsidP="009F24E6">
            <w:pPr>
              <w:jc w:val="right"/>
              <w:rPr>
                <w:sz w:val="22"/>
                <w:szCs w:val="22"/>
              </w:rPr>
            </w:pPr>
            <w:r w:rsidRPr="00AB017F">
              <w:rPr>
                <w:sz w:val="22"/>
                <w:szCs w:val="22"/>
              </w:rPr>
              <w:t>субвенции</w:t>
            </w:r>
          </w:p>
        </w:tc>
        <w:tc>
          <w:tcPr>
            <w:tcW w:w="1339" w:type="dxa"/>
            <w:tcBorders>
              <w:top w:val="single" w:sz="4" w:space="0" w:color="auto"/>
              <w:left w:val="nil"/>
              <w:bottom w:val="single" w:sz="4" w:space="0" w:color="auto"/>
              <w:right w:val="single" w:sz="4" w:space="0" w:color="auto"/>
            </w:tcBorders>
            <w:shd w:val="clear" w:color="auto" w:fill="auto"/>
          </w:tcPr>
          <w:p w:rsidR="00C83EEA" w:rsidRPr="00AB017F" w:rsidRDefault="00C83EEA" w:rsidP="009F24E6">
            <w:pPr>
              <w:jc w:val="right"/>
              <w:rPr>
                <w:sz w:val="20"/>
                <w:szCs w:val="20"/>
              </w:rPr>
            </w:pPr>
            <w:r>
              <w:rPr>
                <w:sz w:val="20"/>
                <w:szCs w:val="20"/>
              </w:rPr>
              <w:t>2 024 510,7</w:t>
            </w:r>
          </w:p>
        </w:tc>
        <w:tc>
          <w:tcPr>
            <w:tcW w:w="1339" w:type="dxa"/>
            <w:tcBorders>
              <w:top w:val="single" w:sz="4" w:space="0" w:color="auto"/>
              <w:left w:val="nil"/>
              <w:bottom w:val="single" w:sz="4" w:space="0" w:color="auto"/>
              <w:right w:val="single" w:sz="4" w:space="0" w:color="auto"/>
            </w:tcBorders>
            <w:shd w:val="clear" w:color="auto" w:fill="auto"/>
          </w:tcPr>
          <w:p w:rsidR="00C83EEA" w:rsidRPr="00AB017F" w:rsidRDefault="00C83EEA" w:rsidP="009F24E6">
            <w:pPr>
              <w:jc w:val="center"/>
              <w:rPr>
                <w:sz w:val="20"/>
                <w:szCs w:val="20"/>
              </w:rPr>
            </w:pPr>
            <w:r>
              <w:rPr>
                <w:sz w:val="20"/>
                <w:szCs w:val="20"/>
              </w:rPr>
              <w:t>1 650 583,2</w:t>
            </w:r>
          </w:p>
        </w:tc>
        <w:tc>
          <w:tcPr>
            <w:tcW w:w="776" w:type="dxa"/>
            <w:tcBorders>
              <w:top w:val="single" w:sz="4" w:space="0" w:color="auto"/>
              <w:left w:val="nil"/>
              <w:bottom w:val="single" w:sz="4" w:space="0" w:color="auto"/>
              <w:right w:val="single" w:sz="4" w:space="0" w:color="auto"/>
            </w:tcBorders>
            <w:shd w:val="clear" w:color="auto" w:fill="auto"/>
          </w:tcPr>
          <w:p w:rsidR="00C83EEA" w:rsidRPr="00AB017F" w:rsidRDefault="00C83EEA" w:rsidP="009F24E6">
            <w:pPr>
              <w:jc w:val="center"/>
              <w:rPr>
                <w:sz w:val="20"/>
                <w:szCs w:val="20"/>
              </w:rPr>
            </w:pPr>
            <w:r>
              <w:rPr>
                <w:sz w:val="20"/>
                <w:szCs w:val="20"/>
              </w:rPr>
              <w:t>81,5</w:t>
            </w:r>
          </w:p>
        </w:tc>
        <w:tc>
          <w:tcPr>
            <w:tcW w:w="1339" w:type="dxa"/>
            <w:tcBorders>
              <w:top w:val="single" w:sz="4" w:space="0" w:color="auto"/>
              <w:left w:val="nil"/>
              <w:bottom w:val="single" w:sz="4" w:space="0" w:color="auto"/>
              <w:right w:val="single" w:sz="4" w:space="0" w:color="auto"/>
            </w:tcBorders>
            <w:shd w:val="clear" w:color="auto" w:fill="auto"/>
          </w:tcPr>
          <w:p w:rsidR="00C83EEA" w:rsidRPr="00AB017F" w:rsidRDefault="00C83EEA" w:rsidP="009F24E6">
            <w:pPr>
              <w:jc w:val="right"/>
              <w:rPr>
                <w:sz w:val="20"/>
                <w:szCs w:val="20"/>
              </w:rPr>
            </w:pPr>
            <w:r>
              <w:rPr>
                <w:sz w:val="20"/>
                <w:szCs w:val="20"/>
              </w:rPr>
              <w:t>1 702 279,6</w:t>
            </w:r>
          </w:p>
        </w:tc>
        <w:tc>
          <w:tcPr>
            <w:tcW w:w="821" w:type="dxa"/>
            <w:tcBorders>
              <w:top w:val="single" w:sz="4" w:space="0" w:color="auto"/>
              <w:left w:val="nil"/>
              <w:bottom w:val="single" w:sz="4" w:space="0" w:color="auto"/>
              <w:right w:val="single" w:sz="4" w:space="0" w:color="auto"/>
            </w:tcBorders>
            <w:shd w:val="clear" w:color="auto" w:fill="auto"/>
          </w:tcPr>
          <w:p w:rsidR="00C83EEA" w:rsidRPr="00AB017F" w:rsidRDefault="00C83EEA" w:rsidP="009F24E6">
            <w:pPr>
              <w:ind w:right="-108"/>
              <w:jc w:val="center"/>
              <w:rPr>
                <w:sz w:val="20"/>
                <w:szCs w:val="20"/>
              </w:rPr>
            </w:pPr>
            <w:r>
              <w:rPr>
                <w:sz w:val="20"/>
                <w:szCs w:val="20"/>
              </w:rPr>
              <w:t>103,1</w:t>
            </w:r>
          </w:p>
        </w:tc>
        <w:tc>
          <w:tcPr>
            <w:tcW w:w="1260" w:type="dxa"/>
            <w:tcBorders>
              <w:top w:val="single" w:sz="4" w:space="0" w:color="auto"/>
              <w:left w:val="nil"/>
              <w:bottom w:val="single" w:sz="4" w:space="0" w:color="auto"/>
              <w:right w:val="single" w:sz="4" w:space="0" w:color="auto"/>
            </w:tcBorders>
            <w:shd w:val="clear" w:color="auto" w:fill="auto"/>
          </w:tcPr>
          <w:p w:rsidR="00C83EEA" w:rsidRPr="00AB017F" w:rsidRDefault="00C83EEA" w:rsidP="009F24E6">
            <w:pPr>
              <w:jc w:val="center"/>
              <w:rPr>
                <w:sz w:val="20"/>
                <w:szCs w:val="20"/>
              </w:rPr>
            </w:pPr>
            <w:r>
              <w:rPr>
                <w:sz w:val="20"/>
                <w:szCs w:val="20"/>
              </w:rPr>
              <w:t>0</w:t>
            </w:r>
          </w:p>
        </w:tc>
        <w:tc>
          <w:tcPr>
            <w:tcW w:w="720" w:type="dxa"/>
            <w:tcBorders>
              <w:top w:val="single" w:sz="4" w:space="0" w:color="auto"/>
              <w:left w:val="nil"/>
              <w:bottom w:val="single" w:sz="4" w:space="0" w:color="auto"/>
              <w:right w:val="single" w:sz="4" w:space="0" w:color="auto"/>
            </w:tcBorders>
            <w:shd w:val="clear" w:color="auto" w:fill="auto"/>
          </w:tcPr>
          <w:p w:rsidR="00C83EEA" w:rsidRPr="00AB017F" w:rsidRDefault="00C83EEA" w:rsidP="009F24E6">
            <w:pPr>
              <w:ind w:right="-108"/>
              <w:rPr>
                <w:sz w:val="20"/>
                <w:szCs w:val="20"/>
              </w:rPr>
            </w:pPr>
            <w:r w:rsidRPr="00AB017F">
              <w:rPr>
                <w:sz w:val="20"/>
                <w:szCs w:val="20"/>
              </w:rPr>
              <w:t> </w:t>
            </w:r>
          </w:p>
        </w:tc>
      </w:tr>
      <w:tr w:rsidR="00C83EEA" w:rsidRPr="00AB017F" w:rsidTr="009F24E6">
        <w:trPr>
          <w:trHeight w:val="458"/>
        </w:trPr>
        <w:tc>
          <w:tcPr>
            <w:tcW w:w="2486" w:type="dxa"/>
            <w:tcBorders>
              <w:top w:val="nil"/>
              <w:left w:val="single" w:sz="4" w:space="0" w:color="auto"/>
              <w:bottom w:val="single" w:sz="4" w:space="0" w:color="auto"/>
              <w:right w:val="single" w:sz="4" w:space="0" w:color="auto"/>
            </w:tcBorders>
            <w:shd w:val="clear" w:color="auto" w:fill="auto"/>
          </w:tcPr>
          <w:p w:rsidR="00C83EEA" w:rsidRPr="00AB017F" w:rsidRDefault="00C83EEA" w:rsidP="009F24E6">
            <w:pPr>
              <w:jc w:val="right"/>
              <w:rPr>
                <w:sz w:val="22"/>
                <w:szCs w:val="22"/>
              </w:rPr>
            </w:pPr>
            <w:r w:rsidRPr="00AB017F">
              <w:rPr>
                <w:sz w:val="22"/>
                <w:szCs w:val="22"/>
              </w:rPr>
              <w:t>межбюджетные трансферты</w:t>
            </w:r>
          </w:p>
        </w:tc>
        <w:tc>
          <w:tcPr>
            <w:tcW w:w="1339" w:type="dxa"/>
            <w:tcBorders>
              <w:top w:val="nil"/>
              <w:left w:val="nil"/>
              <w:bottom w:val="single" w:sz="4" w:space="0" w:color="auto"/>
              <w:right w:val="single" w:sz="4" w:space="0" w:color="auto"/>
            </w:tcBorders>
            <w:shd w:val="clear" w:color="auto" w:fill="auto"/>
          </w:tcPr>
          <w:p w:rsidR="00C83EEA" w:rsidRPr="00AB017F" w:rsidRDefault="00C83EEA" w:rsidP="009F24E6">
            <w:pPr>
              <w:jc w:val="right"/>
              <w:rPr>
                <w:sz w:val="20"/>
                <w:szCs w:val="20"/>
              </w:rPr>
            </w:pPr>
            <w:r>
              <w:rPr>
                <w:sz w:val="20"/>
                <w:szCs w:val="20"/>
              </w:rPr>
              <w:t>795 566,7</w:t>
            </w:r>
          </w:p>
        </w:tc>
        <w:tc>
          <w:tcPr>
            <w:tcW w:w="1339" w:type="dxa"/>
            <w:tcBorders>
              <w:top w:val="nil"/>
              <w:left w:val="nil"/>
              <w:bottom w:val="single" w:sz="4" w:space="0" w:color="auto"/>
              <w:right w:val="single" w:sz="4" w:space="0" w:color="auto"/>
            </w:tcBorders>
            <w:shd w:val="clear" w:color="auto" w:fill="auto"/>
          </w:tcPr>
          <w:p w:rsidR="00C83EEA" w:rsidRPr="00AB017F" w:rsidRDefault="00C83EEA" w:rsidP="009F24E6">
            <w:pPr>
              <w:jc w:val="center"/>
              <w:rPr>
                <w:sz w:val="20"/>
                <w:szCs w:val="20"/>
              </w:rPr>
            </w:pPr>
            <w:r>
              <w:rPr>
                <w:sz w:val="20"/>
                <w:szCs w:val="20"/>
              </w:rPr>
              <w:t>228 696,4</w:t>
            </w:r>
          </w:p>
        </w:tc>
        <w:tc>
          <w:tcPr>
            <w:tcW w:w="776" w:type="dxa"/>
            <w:tcBorders>
              <w:top w:val="nil"/>
              <w:left w:val="nil"/>
              <w:bottom w:val="single" w:sz="4" w:space="0" w:color="auto"/>
              <w:right w:val="single" w:sz="4" w:space="0" w:color="auto"/>
            </w:tcBorders>
            <w:shd w:val="clear" w:color="auto" w:fill="auto"/>
          </w:tcPr>
          <w:p w:rsidR="00C83EEA" w:rsidRPr="00AB017F" w:rsidRDefault="00C83EEA" w:rsidP="009F24E6">
            <w:pPr>
              <w:rPr>
                <w:sz w:val="20"/>
                <w:szCs w:val="20"/>
              </w:rPr>
            </w:pPr>
            <w:r>
              <w:rPr>
                <w:sz w:val="20"/>
                <w:szCs w:val="20"/>
              </w:rPr>
              <w:t xml:space="preserve">  28,7</w:t>
            </w:r>
          </w:p>
        </w:tc>
        <w:tc>
          <w:tcPr>
            <w:tcW w:w="1339" w:type="dxa"/>
            <w:tcBorders>
              <w:top w:val="nil"/>
              <w:left w:val="nil"/>
              <w:bottom w:val="single" w:sz="4" w:space="0" w:color="auto"/>
              <w:right w:val="single" w:sz="4" w:space="0" w:color="auto"/>
            </w:tcBorders>
            <w:shd w:val="clear" w:color="auto" w:fill="auto"/>
          </w:tcPr>
          <w:p w:rsidR="00C83EEA" w:rsidRPr="00AB017F" w:rsidRDefault="00C83EEA" w:rsidP="009F24E6">
            <w:pPr>
              <w:jc w:val="right"/>
              <w:rPr>
                <w:sz w:val="20"/>
                <w:szCs w:val="20"/>
              </w:rPr>
            </w:pPr>
            <w:r>
              <w:rPr>
                <w:sz w:val="20"/>
                <w:szCs w:val="20"/>
              </w:rPr>
              <w:t>228 696,4</w:t>
            </w:r>
          </w:p>
        </w:tc>
        <w:tc>
          <w:tcPr>
            <w:tcW w:w="821" w:type="dxa"/>
            <w:tcBorders>
              <w:top w:val="nil"/>
              <w:left w:val="nil"/>
              <w:bottom w:val="single" w:sz="4" w:space="0" w:color="auto"/>
              <w:right w:val="single" w:sz="4" w:space="0" w:color="auto"/>
            </w:tcBorders>
            <w:shd w:val="clear" w:color="auto" w:fill="auto"/>
          </w:tcPr>
          <w:p w:rsidR="00C83EEA" w:rsidRPr="00AB017F" w:rsidRDefault="00C83EEA" w:rsidP="009F24E6">
            <w:pPr>
              <w:ind w:right="-108"/>
              <w:jc w:val="center"/>
              <w:rPr>
                <w:sz w:val="20"/>
                <w:szCs w:val="20"/>
              </w:rPr>
            </w:pPr>
            <w:r>
              <w:rPr>
                <w:sz w:val="20"/>
                <w:szCs w:val="20"/>
              </w:rPr>
              <w:t>100</w:t>
            </w:r>
          </w:p>
        </w:tc>
        <w:tc>
          <w:tcPr>
            <w:tcW w:w="1260" w:type="dxa"/>
            <w:tcBorders>
              <w:top w:val="nil"/>
              <w:left w:val="nil"/>
              <w:bottom w:val="single" w:sz="4" w:space="0" w:color="auto"/>
              <w:right w:val="single" w:sz="4" w:space="0" w:color="auto"/>
            </w:tcBorders>
            <w:shd w:val="clear" w:color="auto" w:fill="auto"/>
          </w:tcPr>
          <w:p w:rsidR="00C83EEA" w:rsidRPr="00AB017F" w:rsidRDefault="00C83EEA" w:rsidP="009F24E6">
            <w:pPr>
              <w:jc w:val="center"/>
              <w:rPr>
                <w:sz w:val="20"/>
                <w:szCs w:val="20"/>
              </w:rPr>
            </w:pPr>
            <w:r>
              <w:rPr>
                <w:sz w:val="20"/>
                <w:szCs w:val="20"/>
              </w:rPr>
              <w:t>0</w:t>
            </w:r>
          </w:p>
        </w:tc>
        <w:tc>
          <w:tcPr>
            <w:tcW w:w="720" w:type="dxa"/>
            <w:tcBorders>
              <w:top w:val="nil"/>
              <w:left w:val="nil"/>
              <w:bottom w:val="single" w:sz="4" w:space="0" w:color="auto"/>
              <w:right w:val="single" w:sz="4" w:space="0" w:color="auto"/>
            </w:tcBorders>
            <w:shd w:val="clear" w:color="auto" w:fill="auto"/>
          </w:tcPr>
          <w:p w:rsidR="00C83EEA" w:rsidRPr="00AB017F" w:rsidRDefault="00C83EEA" w:rsidP="009F24E6">
            <w:pPr>
              <w:ind w:right="-108"/>
              <w:rPr>
                <w:sz w:val="20"/>
                <w:szCs w:val="20"/>
              </w:rPr>
            </w:pPr>
            <w:r w:rsidRPr="00AB017F">
              <w:rPr>
                <w:sz w:val="20"/>
                <w:szCs w:val="20"/>
              </w:rPr>
              <w:t> </w:t>
            </w:r>
          </w:p>
        </w:tc>
      </w:tr>
      <w:tr w:rsidR="00C83EEA" w:rsidRPr="00AB017F" w:rsidTr="009F24E6">
        <w:trPr>
          <w:trHeight w:val="580"/>
        </w:trPr>
        <w:tc>
          <w:tcPr>
            <w:tcW w:w="2486" w:type="dxa"/>
            <w:tcBorders>
              <w:top w:val="nil"/>
              <w:left w:val="single" w:sz="4" w:space="0" w:color="auto"/>
              <w:bottom w:val="single" w:sz="4" w:space="0" w:color="auto"/>
              <w:right w:val="single" w:sz="4" w:space="0" w:color="auto"/>
            </w:tcBorders>
            <w:shd w:val="clear" w:color="auto" w:fill="auto"/>
          </w:tcPr>
          <w:p w:rsidR="00C83EEA" w:rsidRPr="00AB017F" w:rsidRDefault="00C83EEA" w:rsidP="009F24E6">
            <w:pPr>
              <w:jc w:val="right"/>
              <w:rPr>
                <w:sz w:val="22"/>
                <w:szCs w:val="22"/>
              </w:rPr>
            </w:pPr>
            <w:r>
              <w:rPr>
                <w:sz w:val="22"/>
                <w:szCs w:val="22"/>
              </w:rPr>
              <w:t>прочие безвозмездные поступления</w:t>
            </w:r>
          </w:p>
        </w:tc>
        <w:tc>
          <w:tcPr>
            <w:tcW w:w="1339" w:type="dxa"/>
            <w:tcBorders>
              <w:top w:val="nil"/>
              <w:left w:val="nil"/>
              <w:bottom w:val="single" w:sz="4" w:space="0" w:color="auto"/>
              <w:right w:val="single" w:sz="4" w:space="0" w:color="auto"/>
            </w:tcBorders>
            <w:shd w:val="clear" w:color="auto" w:fill="auto"/>
          </w:tcPr>
          <w:p w:rsidR="00C83EEA" w:rsidRDefault="00C83EEA" w:rsidP="009F24E6">
            <w:pPr>
              <w:jc w:val="right"/>
              <w:rPr>
                <w:sz w:val="20"/>
                <w:szCs w:val="20"/>
              </w:rPr>
            </w:pPr>
            <w:r>
              <w:rPr>
                <w:sz w:val="20"/>
                <w:szCs w:val="20"/>
              </w:rPr>
              <w:t>8,3</w:t>
            </w:r>
          </w:p>
        </w:tc>
        <w:tc>
          <w:tcPr>
            <w:tcW w:w="1339" w:type="dxa"/>
            <w:tcBorders>
              <w:top w:val="nil"/>
              <w:left w:val="nil"/>
              <w:bottom w:val="single" w:sz="4" w:space="0" w:color="auto"/>
              <w:right w:val="single" w:sz="4" w:space="0" w:color="auto"/>
            </w:tcBorders>
            <w:shd w:val="clear" w:color="auto" w:fill="auto"/>
          </w:tcPr>
          <w:p w:rsidR="00C83EEA" w:rsidRDefault="00C83EEA" w:rsidP="009F24E6">
            <w:pPr>
              <w:jc w:val="right"/>
              <w:rPr>
                <w:sz w:val="20"/>
                <w:szCs w:val="20"/>
              </w:rPr>
            </w:pPr>
            <w:r>
              <w:rPr>
                <w:sz w:val="20"/>
                <w:szCs w:val="20"/>
              </w:rPr>
              <w:t>8 185,6</w:t>
            </w:r>
          </w:p>
        </w:tc>
        <w:tc>
          <w:tcPr>
            <w:tcW w:w="776" w:type="dxa"/>
            <w:tcBorders>
              <w:top w:val="nil"/>
              <w:left w:val="nil"/>
              <w:bottom w:val="single" w:sz="4" w:space="0" w:color="auto"/>
              <w:right w:val="single" w:sz="4" w:space="0" w:color="auto"/>
            </w:tcBorders>
            <w:shd w:val="clear" w:color="auto" w:fill="auto"/>
          </w:tcPr>
          <w:p w:rsidR="00C83EEA" w:rsidRDefault="00C83EEA" w:rsidP="009F24E6">
            <w:pPr>
              <w:ind w:right="-108"/>
              <w:rPr>
                <w:sz w:val="20"/>
                <w:szCs w:val="20"/>
              </w:rPr>
            </w:pPr>
          </w:p>
        </w:tc>
        <w:tc>
          <w:tcPr>
            <w:tcW w:w="1339" w:type="dxa"/>
            <w:tcBorders>
              <w:top w:val="nil"/>
              <w:left w:val="nil"/>
              <w:bottom w:val="single" w:sz="4" w:space="0" w:color="auto"/>
              <w:right w:val="nil"/>
            </w:tcBorders>
            <w:shd w:val="clear" w:color="auto" w:fill="auto"/>
          </w:tcPr>
          <w:p w:rsidR="00C83EEA" w:rsidRDefault="00C83EEA" w:rsidP="009F24E6">
            <w:pPr>
              <w:jc w:val="right"/>
              <w:rPr>
                <w:sz w:val="20"/>
                <w:szCs w:val="20"/>
              </w:rPr>
            </w:pPr>
            <w:r>
              <w:rPr>
                <w:sz w:val="20"/>
                <w:szCs w:val="20"/>
              </w:rPr>
              <w:t>8 185,6</w:t>
            </w:r>
          </w:p>
        </w:tc>
        <w:tc>
          <w:tcPr>
            <w:tcW w:w="821" w:type="dxa"/>
            <w:tcBorders>
              <w:top w:val="nil"/>
              <w:left w:val="single" w:sz="4" w:space="0" w:color="auto"/>
              <w:bottom w:val="single" w:sz="4" w:space="0" w:color="auto"/>
              <w:right w:val="single" w:sz="4" w:space="0" w:color="auto"/>
            </w:tcBorders>
            <w:shd w:val="clear" w:color="auto" w:fill="auto"/>
          </w:tcPr>
          <w:p w:rsidR="00C83EEA" w:rsidRDefault="00C83EEA" w:rsidP="009F24E6">
            <w:pPr>
              <w:ind w:right="-108"/>
              <w:jc w:val="center"/>
              <w:rPr>
                <w:sz w:val="20"/>
                <w:szCs w:val="20"/>
              </w:rPr>
            </w:pPr>
            <w:r>
              <w:rPr>
                <w:sz w:val="20"/>
                <w:szCs w:val="20"/>
              </w:rPr>
              <w:t>100</w:t>
            </w:r>
          </w:p>
        </w:tc>
        <w:tc>
          <w:tcPr>
            <w:tcW w:w="1260" w:type="dxa"/>
            <w:tcBorders>
              <w:top w:val="nil"/>
              <w:left w:val="nil"/>
              <w:bottom w:val="single" w:sz="4" w:space="0" w:color="auto"/>
              <w:right w:val="single" w:sz="4" w:space="0" w:color="auto"/>
            </w:tcBorders>
            <w:shd w:val="clear" w:color="auto" w:fill="auto"/>
          </w:tcPr>
          <w:p w:rsidR="00C83EEA" w:rsidRDefault="00C83EEA" w:rsidP="009F24E6">
            <w:pPr>
              <w:ind w:left="-108"/>
              <w:jc w:val="right"/>
              <w:rPr>
                <w:sz w:val="20"/>
                <w:szCs w:val="20"/>
              </w:rPr>
            </w:pPr>
            <w:r>
              <w:rPr>
                <w:sz w:val="20"/>
                <w:szCs w:val="20"/>
              </w:rPr>
              <w:t>8 185,6</w:t>
            </w:r>
          </w:p>
        </w:tc>
        <w:tc>
          <w:tcPr>
            <w:tcW w:w="720" w:type="dxa"/>
            <w:tcBorders>
              <w:top w:val="nil"/>
              <w:left w:val="nil"/>
              <w:bottom w:val="single" w:sz="4" w:space="0" w:color="auto"/>
              <w:right w:val="single" w:sz="4" w:space="0" w:color="auto"/>
            </w:tcBorders>
            <w:shd w:val="clear" w:color="auto" w:fill="auto"/>
          </w:tcPr>
          <w:p w:rsidR="00C83EEA" w:rsidRDefault="00C83EEA" w:rsidP="009F24E6">
            <w:pPr>
              <w:ind w:right="-108"/>
              <w:jc w:val="center"/>
              <w:rPr>
                <w:sz w:val="20"/>
                <w:szCs w:val="20"/>
              </w:rPr>
            </w:pPr>
            <w:r>
              <w:rPr>
                <w:sz w:val="20"/>
                <w:szCs w:val="20"/>
              </w:rPr>
              <w:t>100</w:t>
            </w:r>
          </w:p>
        </w:tc>
      </w:tr>
      <w:tr w:rsidR="00C83EEA" w:rsidRPr="00AB017F" w:rsidTr="009F24E6">
        <w:trPr>
          <w:trHeight w:val="580"/>
        </w:trPr>
        <w:tc>
          <w:tcPr>
            <w:tcW w:w="2486" w:type="dxa"/>
            <w:tcBorders>
              <w:top w:val="nil"/>
              <w:left w:val="single" w:sz="4" w:space="0" w:color="auto"/>
              <w:bottom w:val="single" w:sz="4" w:space="0" w:color="auto"/>
              <w:right w:val="single" w:sz="4" w:space="0" w:color="auto"/>
            </w:tcBorders>
            <w:shd w:val="clear" w:color="auto" w:fill="auto"/>
          </w:tcPr>
          <w:p w:rsidR="00C83EEA" w:rsidRPr="00AB017F" w:rsidRDefault="00C83EEA" w:rsidP="009F24E6">
            <w:pPr>
              <w:rPr>
                <w:sz w:val="22"/>
                <w:szCs w:val="22"/>
              </w:rPr>
            </w:pPr>
            <w:r w:rsidRPr="00AB017F">
              <w:rPr>
                <w:sz w:val="22"/>
                <w:szCs w:val="22"/>
              </w:rPr>
              <w:t>Расходы, обеспеченные собственными доходами</w:t>
            </w:r>
          </w:p>
        </w:tc>
        <w:tc>
          <w:tcPr>
            <w:tcW w:w="1339" w:type="dxa"/>
            <w:tcBorders>
              <w:top w:val="nil"/>
              <w:left w:val="nil"/>
              <w:bottom w:val="single" w:sz="4" w:space="0" w:color="auto"/>
              <w:right w:val="single" w:sz="4" w:space="0" w:color="auto"/>
            </w:tcBorders>
            <w:shd w:val="clear" w:color="auto" w:fill="auto"/>
          </w:tcPr>
          <w:p w:rsidR="00C83EEA" w:rsidRPr="00AB017F" w:rsidRDefault="00C83EEA" w:rsidP="009F24E6">
            <w:pPr>
              <w:jc w:val="right"/>
              <w:rPr>
                <w:sz w:val="20"/>
                <w:szCs w:val="20"/>
              </w:rPr>
            </w:pPr>
            <w:r>
              <w:rPr>
                <w:sz w:val="20"/>
                <w:szCs w:val="20"/>
              </w:rPr>
              <w:t>32 178 377,2</w:t>
            </w:r>
          </w:p>
        </w:tc>
        <w:tc>
          <w:tcPr>
            <w:tcW w:w="1339" w:type="dxa"/>
            <w:tcBorders>
              <w:top w:val="nil"/>
              <w:left w:val="nil"/>
              <w:bottom w:val="single" w:sz="4" w:space="0" w:color="auto"/>
              <w:right w:val="single" w:sz="4" w:space="0" w:color="auto"/>
            </w:tcBorders>
            <w:shd w:val="clear" w:color="auto" w:fill="auto"/>
          </w:tcPr>
          <w:p w:rsidR="00C83EEA" w:rsidRPr="00AB017F" w:rsidRDefault="00C83EEA" w:rsidP="009F24E6">
            <w:pPr>
              <w:jc w:val="right"/>
              <w:rPr>
                <w:sz w:val="20"/>
                <w:szCs w:val="20"/>
              </w:rPr>
            </w:pPr>
            <w:r>
              <w:rPr>
                <w:sz w:val="20"/>
                <w:szCs w:val="20"/>
              </w:rPr>
              <w:t>36 542 606,0</w:t>
            </w:r>
          </w:p>
        </w:tc>
        <w:tc>
          <w:tcPr>
            <w:tcW w:w="776" w:type="dxa"/>
            <w:tcBorders>
              <w:top w:val="nil"/>
              <w:left w:val="nil"/>
              <w:bottom w:val="single" w:sz="4" w:space="0" w:color="auto"/>
              <w:right w:val="single" w:sz="4" w:space="0" w:color="auto"/>
            </w:tcBorders>
            <w:shd w:val="clear" w:color="auto" w:fill="auto"/>
          </w:tcPr>
          <w:p w:rsidR="00C83EEA" w:rsidRPr="00AB017F" w:rsidRDefault="00C83EEA" w:rsidP="009F24E6">
            <w:pPr>
              <w:ind w:right="-108"/>
              <w:rPr>
                <w:sz w:val="20"/>
                <w:szCs w:val="20"/>
              </w:rPr>
            </w:pPr>
            <w:r>
              <w:rPr>
                <w:sz w:val="20"/>
                <w:szCs w:val="20"/>
              </w:rPr>
              <w:t>113,6</w:t>
            </w:r>
          </w:p>
        </w:tc>
        <w:tc>
          <w:tcPr>
            <w:tcW w:w="1339" w:type="dxa"/>
            <w:tcBorders>
              <w:top w:val="nil"/>
              <w:left w:val="nil"/>
              <w:bottom w:val="single" w:sz="4" w:space="0" w:color="auto"/>
              <w:right w:val="nil"/>
            </w:tcBorders>
            <w:shd w:val="clear" w:color="auto" w:fill="auto"/>
          </w:tcPr>
          <w:p w:rsidR="00C83EEA" w:rsidRPr="00AB017F" w:rsidRDefault="00C83EEA" w:rsidP="009F24E6">
            <w:pPr>
              <w:jc w:val="right"/>
              <w:rPr>
                <w:sz w:val="20"/>
                <w:szCs w:val="20"/>
              </w:rPr>
            </w:pPr>
            <w:r>
              <w:rPr>
                <w:sz w:val="20"/>
                <w:szCs w:val="20"/>
              </w:rPr>
              <w:t>41 010 058,0</w:t>
            </w:r>
          </w:p>
        </w:tc>
        <w:tc>
          <w:tcPr>
            <w:tcW w:w="821" w:type="dxa"/>
            <w:tcBorders>
              <w:top w:val="nil"/>
              <w:left w:val="single" w:sz="4" w:space="0" w:color="auto"/>
              <w:bottom w:val="single" w:sz="4" w:space="0" w:color="auto"/>
              <w:right w:val="single" w:sz="4" w:space="0" w:color="auto"/>
            </w:tcBorders>
            <w:shd w:val="clear" w:color="auto" w:fill="auto"/>
          </w:tcPr>
          <w:p w:rsidR="00C83EEA" w:rsidRPr="00AB017F" w:rsidRDefault="00C83EEA" w:rsidP="009F24E6">
            <w:pPr>
              <w:ind w:right="-108"/>
              <w:jc w:val="center"/>
              <w:rPr>
                <w:sz w:val="20"/>
                <w:szCs w:val="20"/>
              </w:rPr>
            </w:pPr>
            <w:r>
              <w:rPr>
                <w:sz w:val="20"/>
                <w:szCs w:val="20"/>
              </w:rPr>
              <w:t>112,2</w:t>
            </w:r>
          </w:p>
        </w:tc>
        <w:tc>
          <w:tcPr>
            <w:tcW w:w="1260" w:type="dxa"/>
            <w:tcBorders>
              <w:top w:val="nil"/>
              <w:left w:val="nil"/>
              <w:bottom w:val="single" w:sz="4" w:space="0" w:color="auto"/>
              <w:right w:val="single" w:sz="4" w:space="0" w:color="auto"/>
            </w:tcBorders>
            <w:shd w:val="clear" w:color="auto" w:fill="auto"/>
          </w:tcPr>
          <w:p w:rsidR="00C83EEA" w:rsidRPr="00AB017F" w:rsidRDefault="00C83EEA" w:rsidP="009F24E6">
            <w:pPr>
              <w:ind w:left="-108"/>
              <w:jc w:val="right"/>
              <w:rPr>
                <w:sz w:val="20"/>
                <w:szCs w:val="20"/>
              </w:rPr>
            </w:pPr>
            <w:r>
              <w:rPr>
                <w:sz w:val="20"/>
                <w:szCs w:val="20"/>
              </w:rPr>
              <w:t>46 555 382,0</w:t>
            </w:r>
          </w:p>
        </w:tc>
        <w:tc>
          <w:tcPr>
            <w:tcW w:w="720" w:type="dxa"/>
            <w:tcBorders>
              <w:top w:val="nil"/>
              <w:left w:val="nil"/>
              <w:bottom w:val="single" w:sz="4" w:space="0" w:color="auto"/>
              <w:right w:val="single" w:sz="4" w:space="0" w:color="auto"/>
            </w:tcBorders>
            <w:shd w:val="clear" w:color="auto" w:fill="auto"/>
          </w:tcPr>
          <w:p w:rsidR="00C83EEA" w:rsidRPr="00AB017F" w:rsidRDefault="00C83EEA" w:rsidP="009F24E6">
            <w:pPr>
              <w:ind w:right="-108"/>
              <w:jc w:val="center"/>
              <w:rPr>
                <w:sz w:val="20"/>
                <w:szCs w:val="20"/>
              </w:rPr>
            </w:pPr>
            <w:r>
              <w:rPr>
                <w:sz w:val="20"/>
                <w:szCs w:val="20"/>
              </w:rPr>
              <w:t>113,5</w:t>
            </w:r>
          </w:p>
        </w:tc>
      </w:tr>
    </w:tbl>
    <w:p w:rsidR="00C83EEA" w:rsidRDefault="00C83EEA" w:rsidP="00C83EEA">
      <w:pPr>
        <w:pStyle w:val="rvps698610"/>
        <w:widowControl w:val="0"/>
        <w:tabs>
          <w:tab w:val="left" w:pos="0"/>
          <w:tab w:val="left" w:pos="9355"/>
        </w:tabs>
        <w:spacing w:after="0"/>
        <w:ind w:right="0" w:firstLine="720"/>
        <w:jc w:val="both"/>
      </w:pPr>
    </w:p>
    <w:p w:rsidR="00C83EEA" w:rsidRDefault="00C83EEA" w:rsidP="00C83EEA">
      <w:pPr>
        <w:pStyle w:val="rvps698610"/>
        <w:widowControl w:val="0"/>
        <w:tabs>
          <w:tab w:val="left" w:pos="0"/>
          <w:tab w:val="left" w:pos="9355"/>
        </w:tabs>
        <w:spacing w:after="0"/>
        <w:ind w:right="0" w:firstLine="720"/>
        <w:jc w:val="both"/>
      </w:pPr>
      <w:r w:rsidRPr="00A95767">
        <w:t>С</w:t>
      </w:r>
      <w:r>
        <w:t xml:space="preserve">оотношение расходов текущего года к </w:t>
      </w:r>
      <w:proofErr w:type="gramStart"/>
      <w:r>
        <w:t>планируемому</w:t>
      </w:r>
      <w:proofErr w:type="gramEnd"/>
      <w:r>
        <w:t xml:space="preserve"> условно, поскольку и в доходной, и в расходной частях бюджета на 2013-2014 годы учтена только часть предполагаемых межбюджетных трансфертов.</w:t>
      </w:r>
    </w:p>
    <w:p w:rsidR="00C83EEA" w:rsidRDefault="00C83EEA" w:rsidP="00C83EEA">
      <w:pPr>
        <w:pStyle w:val="rvps698610"/>
        <w:widowControl w:val="0"/>
        <w:tabs>
          <w:tab w:val="left" w:pos="0"/>
          <w:tab w:val="left" w:pos="9355"/>
        </w:tabs>
        <w:spacing w:after="0"/>
        <w:ind w:right="0" w:firstLine="720"/>
        <w:jc w:val="both"/>
      </w:pPr>
      <w:r>
        <w:t xml:space="preserve">Основным приоритетом бюджетной политики на плановый период является расширение сферы применения программно-целевого принципа </w:t>
      </w:r>
      <w:proofErr w:type="gramStart"/>
      <w:r>
        <w:t>организации деятельности исполнительных органов государственной власти Томской области</w:t>
      </w:r>
      <w:proofErr w:type="gramEnd"/>
      <w:r>
        <w:t>. Законопроектом предусматривается утверждение Перечней и объемов финансирования:</w:t>
      </w:r>
    </w:p>
    <w:p w:rsidR="00C83EEA" w:rsidRDefault="00C83EEA" w:rsidP="00C83EEA">
      <w:pPr>
        <w:pStyle w:val="rvps698610"/>
        <w:widowControl w:val="0"/>
        <w:tabs>
          <w:tab w:val="left" w:pos="0"/>
          <w:tab w:val="left" w:pos="9355"/>
        </w:tabs>
        <w:spacing w:after="0"/>
        <w:ind w:right="0" w:firstLine="720"/>
        <w:jc w:val="both"/>
      </w:pPr>
      <w:r>
        <w:t xml:space="preserve">- долгосрочных целевых программ в общей сумме на 2013 год – 4 907 133,4 </w:t>
      </w:r>
      <w:proofErr w:type="spellStart"/>
      <w:r>
        <w:t>тыс</w:t>
      </w:r>
      <w:proofErr w:type="gramStart"/>
      <w:r>
        <w:t>.р</w:t>
      </w:r>
      <w:proofErr w:type="gramEnd"/>
      <w:r>
        <w:t>уб</w:t>
      </w:r>
      <w:proofErr w:type="spellEnd"/>
      <w:r>
        <w:t xml:space="preserve">., на 2014 год – 5 438 709,0 </w:t>
      </w:r>
      <w:proofErr w:type="spellStart"/>
      <w:r>
        <w:t>тыс.руб</w:t>
      </w:r>
      <w:proofErr w:type="spellEnd"/>
      <w:r>
        <w:t xml:space="preserve">. и на 2015 год – 5 828 590,3 </w:t>
      </w:r>
      <w:proofErr w:type="spellStart"/>
      <w:r>
        <w:t>тыс.руб</w:t>
      </w:r>
      <w:proofErr w:type="spellEnd"/>
      <w:r>
        <w:t>.;</w:t>
      </w:r>
    </w:p>
    <w:p w:rsidR="00C83EEA" w:rsidRDefault="00C83EEA" w:rsidP="00C83EEA">
      <w:pPr>
        <w:pStyle w:val="rvps698610"/>
        <w:widowControl w:val="0"/>
        <w:tabs>
          <w:tab w:val="left" w:pos="0"/>
          <w:tab w:val="left" w:pos="9355"/>
        </w:tabs>
        <w:spacing w:after="0"/>
        <w:ind w:right="0" w:firstLine="720"/>
        <w:jc w:val="both"/>
      </w:pPr>
      <w:r>
        <w:t xml:space="preserve">- региональных программ в общей сумме на 2013 год – 101 250,4 </w:t>
      </w:r>
      <w:proofErr w:type="spellStart"/>
      <w:r>
        <w:t>тыс</w:t>
      </w:r>
      <w:proofErr w:type="gramStart"/>
      <w:r>
        <w:t>.р</w:t>
      </w:r>
      <w:proofErr w:type="gramEnd"/>
      <w:r>
        <w:t>уб</w:t>
      </w:r>
      <w:proofErr w:type="spellEnd"/>
      <w:r>
        <w:t xml:space="preserve">., на 2014 год – 106 514,8 </w:t>
      </w:r>
      <w:proofErr w:type="spellStart"/>
      <w:r>
        <w:t>тыс.руб</w:t>
      </w:r>
      <w:proofErr w:type="spellEnd"/>
      <w:r>
        <w:t xml:space="preserve">. и на 2015 год – 111 733,5 </w:t>
      </w:r>
      <w:proofErr w:type="spellStart"/>
      <w:r>
        <w:t>тыс.руб</w:t>
      </w:r>
      <w:proofErr w:type="spellEnd"/>
      <w:r>
        <w:t>.</w:t>
      </w:r>
    </w:p>
    <w:p w:rsidR="00C83EEA" w:rsidRDefault="00C83EEA" w:rsidP="00C83EEA">
      <w:pPr>
        <w:pStyle w:val="rvps698610"/>
        <w:widowControl w:val="0"/>
        <w:tabs>
          <w:tab w:val="left" w:pos="0"/>
          <w:tab w:val="left" w:pos="9355"/>
        </w:tabs>
        <w:spacing w:after="0"/>
        <w:ind w:right="0" w:firstLine="720"/>
        <w:jc w:val="both"/>
      </w:pPr>
      <w:r>
        <w:t xml:space="preserve">Перечня и объемов финансирования ведомственных целевых программ в </w:t>
      </w:r>
      <w:r>
        <w:lastRenderedPageBreak/>
        <w:t>законопроекте нет, несмотря на то, что они включены в ведомственную структуру расходов областного бюджета.</w:t>
      </w:r>
    </w:p>
    <w:p w:rsidR="00C83EEA" w:rsidRDefault="00C83EEA" w:rsidP="00C83EEA">
      <w:pPr>
        <w:pStyle w:val="rvps698610"/>
        <w:widowControl w:val="0"/>
        <w:tabs>
          <w:tab w:val="left" w:pos="0"/>
          <w:tab w:val="left" w:pos="9355"/>
        </w:tabs>
        <w:spacing w:after="0"/>
        <w:ind w:right="0" w:firstLine="720"/>
        <w:jc w:val="both"/>
      </w:pPr>
      <w:r>
        <w:t>Предлагаемые к утверждению объемы финансирования программных мероприятий (в рамках реализации долгосрочных и региональных программ) составляют соответственно 12,4%, 12,6% и 12,8% к общим расходам областного бюджета в 2013-2015 годах.</w:t>
      </w:r>
    </w:p>
    <w:p w:rsidR="00C83EEA" w:rsidRPr="005B6B8C" w:rsidRDefault="00C83EEA" w:rsidP="00C83EEA">
      <w:pPr>
        <w:pStyle w:val="a3"/>
        <w:spacing w:after="0" w:line="25" w:lineRule="atLeast"/>
        <w:ind w:firstLine="720"/>
        <w:rPr>
          <w:b/>
          <w:i/>
        </w:rPr>
      </w:pPr>
    </w:p>
    <w:p w:rsidR="00C83EEA" w:rsidRDefault="00C83EEA" w:rsidP="00C83EEA">
      <w:pPr>
        <w:jc w:val="both"/>
      </w:pPr>
      <w:r>
        <w:rPr>
          <w:b/>
        </w:rPr>
        <w:t xml:space="preserve">6.1 </w:t>
      </w:r>
      <w:r w:rsidRPr="00D56582">
        <w:rPr>
          <w:b/>
        </w:rPr>
        <w:t xml:space="preserve">Анализ перечня </w:t>
      </w:r>
      <w:r>
        <w:rPr>
          <w:b/>
        </w:rPr>
        <w:t>и</w:t>
      </w:r>
      <w:r w:rsidRPr="00D56582">
        <w:rPr>
          <w:b/>
        </w:rPr>
        <w:t xml:space="preserve"> объемов финансирования целевых программ</w:t>
      </w:r>
      <w:r>
        <w:rPr>
          <w:b/>
        </w:rPr>
        <w:t>.</w:t>
      </w:r>
    </w:p>
    <w:p w:rsidR="00C83EEA" w:rsidRPr="00C028CA" w:rsidRDefault="00C83EEA" w:rsidP="00C83EEA">
      <w:pPr>
        <w:ind w:firstLine="720"/>
        <w:jc w:val="both"/>
      </w:pPr>
      <w:r>
        <w:t>В рамках рассмотрения законопроекта считаем необходимым обратить внимание на следующее.</w:t>
      </w:r>
    </w:p>
    <w:p w:rsidR="00C83EEA" w:rsidRDefault="00C83EEA" w:rsidP="00C83EEA">
      <w:pPr>
        <w:pStyle w:val="a3"/>
        <w:spacing w:after="0" w:line="25" w:lineRule="atLeast"/>
        <w:ind w:firstLine="720"/>
        <w:jc w:val="both"/>
      </w:pPr>
      <w:r>
        <w:t>Бюджетным кодексом РФ предусмотрены программы двух типов: долгосрочная целевая программа (ДЦП) и ведомственная целевая программа (ВЦП). Согласно п.2 ст.3 Закона Томской области «О системе документов стратегического и программно-целевого планирования Томской области» долгосрочные целевые и ведомственные целевые программы составляют систему документов программно-целевого планирования, с учетом которых формируется проект областного бюджета на очередной финансовый год и на плановый период.</w:t>
      </w:r>
    </w:p>
    <w:p w:rsidR="00C83EEA" w:rsidRDefault="00C83EEA" w:rsidP="00C83EEA">
      <w:pPr>
        <w:pStyle w:val="a3"/>
        <w:spacing w:after="0" w:line="25" w:lineRule="atLeast"/>
        <w:ind w:firstLine="720"/>
        <w:jc w:val="both"/>
      </w:pPr>
      <w:r>
        <w:t xml:space="preserve">Представленным законопроектом предусмотрено финансирование в 2013 году 15 долгосрочных целевых программ с общим объемом финансирования 3 632 583,4 </w:t>
      </w:r>
      <w:proofErr w:type="spellStart"/>
      <w:r>
        <w:t>тыс</w:t>
      </w:r>
      <w:proofErr w:type="gramStart"/>
      <w:r>
        <w:t>.р</w:t>
      </w:r>
      <w:proofErr w:type="gramEnd"/>
      <w:r>
        <w:t>уб</w:t>
      </w:r>
      <w:proofErr w:type="spellEnd"/>
      <w:r>
        <w:t xml:space="preserve">. Кроме того, заложен резерв на принимаемые обязательства по рекомендуемым к реализации с 2013 года 14 долгосрочным целевым программам, которые не утверждены постановлениями Администрации на дату внесения проекта закона о бюджете в Законодательную Думу Томской области, что не отвечает требованиям п.2 ст.179 Бюджетного кодекса РФ: долгосрочные целевые программы, предлагаемые к финансированию с начала очередного финансового года, подлежат утверждению не позднее одного месяца до дня внесения проекта закона о бюджете в законодательный орган. Данный резерв в сумме 1 274 550,0 </w:t>
      </w:r>
      <w:proofErr w:type="spellStart"/>
      <w:r>
        <w:t>тыс</w:t>
      </w:r>
      <w:proofErr w:type="gramStart"/>
      <w:r>
        <w:t>.р</w:t>
      </w:r>
      <w:proofErr w:type="gramEnd"/>
      <w:r>
        <w:t>уб</w:t>
      </w:r>
      <w:proofErr w:type="spellEnd"/>
      <w:r>
        <w:t>. в ведомственной структуре расходов областного бюджета на 2013 год закреплен за Администрацией Томской области. Обоснований необходимости включения в проект бюджета резерва на принимаемые обязательства не представлено. Также установлено отсутствие расходных обязательств по ряду действующих программ, учтенных в законопроекте.</w:t>
      </w:r>
    </w:p>
    <w:p w:rsidR="00C83EEA" w:rsidRDefault="00C83EEA" w:rsidP="00C83EEA">
      <w:pPr>
        <w:ind w:firstLine="708"/>
        <w:jc w:val="both"/>
      </w:pPr>
      <w:r>
        <w:t xml:space="preserve">Так, предусмотрено финансирование в 2013-2015 годах ДЦП «Социальное развитие села до 2015 года», однако на момент представления проекта бюджета долгосрочная целевая программа с таким названием и сроком действия не утверждена, а в </w:t>
      </w:r>
      <w:proofErr w:type="gramStart"/>
      <w:r>
        <w:t>существующей</w:t>
      </w:r>
      <w:proofErr w:type="gramEnd"/>
      <w:r>
        <w:t xml:space="preserve"> ДЦП «Социальное развитие села до 2014 года» не предусмотрены расходные обязательства на 2015 год.</w:t>
      </w:r>
    </w:p>
    <w:p w:rsidR="00C83EEA" w:rsidRPr="000C722D" w:rsidRDefault="00C83EEA" w:rsidP="00C83EEA">
      <w:pPr>
        <w:ind w:firstLine="708"/>
        <w:jc w:val="both"/>
      </w:pPr>
      <w:r>
        <w:t>Аналогичная ситуация с ДЦП «</w:t>
      </w:r>
      <w:r w:rsidRPr="000C722D">
        <w:t>Неотложные мероприятия по совершенствованию онкологической помощи населению Томской области н</w:t>
      </w:r>
      <w:r>
        <w:t>а 2011-</w:t>
      </w:r>
      <w:r w:rsidRPr="000C722D">
        <w:t>2013 годы</w:t>
      </w:r>
      <w:r>
        <w:t>», срок действия которой заканчивается в 2013 году, что свидетельствует об отсутствии правовых оснований для включения в законопроект на 2014 год финансирования программы без соответствующего расходного обязательства.</w:t>
      </w:r>
    </w:p>
    <w:p w:rsidR="00C83EEA" w:rsidRDefault="00C83EEA" w:rsidP="00C83EEA">
      <w:pPr>
        <w:ind w:firstLine="708"/>
        <w:jc w:val="both"/>
      </w:pPr>
      <w:r>
        <w:t>И наоборот, объемы финансирования на 2013 год, включенные в законопроект по двум ДЦП, превышают соответствующие расходные обязательства, утвержденные в программах, в том числе:</w:t>
      </w:r>
    </w:p>
    <w:p w:rsidR="00C83EEA" w:rsidRDefault="00C83EEA" w:rsidP="00C83EEA">
      <w:pPr>
        <w:jc w:val="both"/>
      </w:pPr>
      <w:r>
        <w:t xml:space="preserve">- на 36 270,0 </w:t>
      </w:r>
      <w:proofErr w:type="spellStart"/>
      <w:r>
        <w:t>тыс</w:t>
      </w:r>
      <w:proofErr w:type="gramStart"/>
      <w:r>
        <w:t>.р</w:t>
      </w:r>
      <w:proofErr w:type="gramEnd"/>
      <w:r>
        <w:t>уб</w:t>
      </w:r>
      <w:proofErr w:type="spellEnd"/>
      <w:r>
        <w:t>. - по ДЦП «Социальное развитие села до 2014 года»;</w:t>
      </w:r>
    </w:p>
    <w:p w:rsidR="00C83EEA" w:rsidRDefault="00C83EEA" w:rsidP="00C83EEA">
      <w:pPr>
        <w:jc w:val="both"/>
      </w:pPr>
      <w:r>
        <w:t xml:space="preserve">- на 184 800,0 </w:t>
      </w:r>
      <w:proofErr w:type="spellStart"/>
      <w:r>
        <w:t>тыс</w:t>
      </w:r>
      <w:proofErr w:type="gramStart"/>
      <w:r>
        <w:t>.р</w:t>
      </w:r>
      <w:proofErr w:type="gramEnd"/>
      <w:r>
        <w:t>уб</w:t>
      </w:r>
      <w:proofErr w:type="spellEnd"/>
      <w:r>
        <w:t>. - по ДЦП «Развитие физической культуры и спорта в Томской области на 2011-2013 годы».</w:t>
      </w:r>
    </w:p>
    <w:p w:rsidR="00C83EEA" w:rsidRDefault="00C83EEA" w:rsidP="00C83EEA">
      <w:pPr>
        <w:ind w:firstLine="708"/>
        <w:jc w:val="both"/>
      </w:pPr>
      <w:r>
        <w:t xml:space="preserve">Кроме долгосрочных целевых программ законопроектом отдельным приложением предлагаются к утверждению перечень и объемы финансирования на 2013 год и на плановый период 2014 и 2015 годов двух региональных программ с общим объемом финансирования на 2013 год в сумме 101 250,4 </w:t>
      </w:r>
      <w:proofErr w:type="spellStart"/>
      <w:r>
        <w:t>тыс</w:t>
      </w:r>
      <w:proofErr w:type="gramStart"/>
      <w:r>
        <w:t>.р</w:t>
      </w:r>
      <w:proofErr w:type="gramEnd"/>
      <w:r>
        <w:t>уб</w:t>
      </w:r>
      <w:proofErr w:type="spellEnd"/>
      <w:r>
        <w:t>. Также следуе</w:t>
      </w:r>
      <w:r w:rsidRPr="007E21BB">
        <w:t xml:space="preserve">т отметить, </w:t>
      </w:r>
      <w:r>
        <w:t xml:space="preserve">что объемы финансирования в сумме 111 733,5 </w:t>
      </w:r>
      <w:proofErr w:type="spellStart"/>
      <w:r>
        <w:t>тыс.руб</w:t>
      </w:r>
      <w:proofErr w:type="spellEnd"/>
      <w:r>
        <w:t xml:space="preserve">. по региональным программам на </w:t>
      </w:r>
      <w:r>
        <w:lastRenderedPageBreak/>
        <w:t xml:space="preserve">2015 год запланированы в проекте бюджета при отсутствии соответствующих расходных обязательств, так как срок реализации указанных региональных программ истекает в 2014 году. </w:t>
      </w:r>
    </w:p>
    <w:p w:rsidR="00C83EEA" w:rsidRPr="00BB7AEE" w:rsidRDefault="00C83EEA" w:rsidP="00C83EEA">
      <w:pPr>
        <w:ind w:firstLine="708"/>
        <w:jc w:val="both"/>
      </w:pPr>
      <w:r w:rsidRPr="00BB7AEE">
        <w:t>Действующее законодательство не определяет, к какому из двух видов целевых программ (долгосрочные или ведомственные) относятся региональные программы, а также не устанавливает обязательность их включения отдельным приложением в состав бюджета субъекта РФ. В систему документов программно-целевого планирования, являющихся основой для составления проекта бюджета, реги</w:t>
      </w:r>
      <w:r>
        <w:t>ональные программы не включены.</w:t>
      </w:r>
    </w:p>
    <w:p w:rsidR="00C83EEA" w:rsidRDefault="00C83EEA" w:rsidP="00C83EEA">
      <w:pPr>
        <w:jc w:val="both"/>
      </w:pPr>
      <w:r>
        <w:tab/>
      </w:r>
      <w:proofErr w:type="gramStart"/>
      <w:r>
        <w:t>Одновременно, согласно ст.13 Закона Томской области «О системе документов стратегического и программно-целевого планирования Томской области»,  для участия в реализации федеральных целевых программ, федеральной адресной инвестиционной программе и других формах поддержки из федерального бюджета в целях получения межбюджетных трансфертов Администрация вправе принимать иные документы в соответствии с требованиями федеральных правовых актов и в порядке, установленном нормативными правовыми актами РФ.</w:t>
      </w:r>
      <w:proofErr w:type="gramEnd"/>
      <w:r>
        <w:t xml:space="preserve"> Из представленных в законопроекте региональных программ только одна – «Содействие занятости населения Томской области» - предполагает возможность </w:t>
      </w:r>
      <w:proofErr w:type="spellStart"/>
      <w:r>
        <w:t>софинансирования</w:t>
      </w:r>
      <w:proofErr w:type="spellEnd"/>
      <w:r>
        <w:t xml:space="preserve"> программных мероприятий из федерального бюджета. Информация по региональной программе «Социальная адаптация выпускников образовательных учреждений для детей-сирот и детей, оставшихся без попечения родителей, Томской области на 2012-2014 годы» в части возможности получения </w:t>
      </w:r>
      <w:proofErr w:type="spellStart"/>
      <w:r>
        <w:t>софинансирования</w:t>
      </w:r>
      <w:proofErr w:type="spellEnd"/>
      <w:r>
        <w:t xml:space="preserve"> из федерального бюджета в 2012–2014 годах Администрацией в материалах и документах не предоставлена.</w:t>
      </w:r>
    </w:p>
    <w:p w:rsidR="00C83EEA" w:rsidRDefault="00C83EEA" w:rsidP="00C83EEA">
      <w:pPr>
        <w:ind w:firstLine="708"/>
        <w:jc w:val="both"/>
      </w:pPr>
      <w:r>
        <w:t>В составе ведомственной структуры расходов областного бюджета на 2013-2015 годы предусмотрены ассигнования на реализацию ведомственных целевых программ, часть которых не утверждена нормативными правовыми актами Томской области, что является нарушением ст.85 Бюджетного кодекса РФ. Ассигнования по финансированию мероприятий ряда ведомственных программ на 2013-2014 годы превышают расходы, утвержденные в программах, а ассигнования на 2015 год включены в законопроект при отсутствии утвержденных расходных обязательств. Следует отметить, что действующий порядок, утвержденный Администрацией,  предполагает утверждение ВЦП только после принятия закона о бюджете.</w:t>
      </w:r>
    </w:p>
    <w:p w:rsidR="00C83EEA" w:rsidRDefault="00C83EEA" w:rsidP="00C83EEA">
      <w:pPr>
        <w:autoSpaceDE w:val="0"/>
        <w:autoSpaceDN w:val="0"/>
        <w:adjustRightInd w:val="0"/>
        <w:ind w:firstLine="720"/>
        <w:jc w:val="both"/>
        <w:outlineLvl w:val="1"/>
      </w:pPr>
      <w:proofErr w:type="gramStart"/>
      <w:r>
        <w:t>Контрольно-счетной палатой уже отмечалось, что сохраняется устаревшая норма в ст.</w:t>
      </w:r>
      <w:r w:rsidRPr="00BB7AEE">
        <w:t xml:space="preserve">18 </w:t>
      </w:r>
      <w:r w:rsidRPr="00BB7AEE">
        <w:rPr>
          <w:iCs/>
        </w:rPr>
        <w:t xml:space="preserve">Закона Томской области </w:t>
      </w:r>
      <w:r>
        <w:rPr>
          <w:iCs/>
        </w:rPr>
        <w:t>«</w:t>
      </w:r>
      <w:r w:rsidRPr="00BB7AEE">
        <w:rPr>
          <w:iCs/>
        </w:rPr>
        <w:t>О бюджетном процессе в Томской области</w:t>
      </w:r>
      <w:r>
        <w:rPr>
          <w:iCs/>
        </w:rPr>
        <w:t>»</w:t>
      </w:r>
      <w:r w:rsidRPr="00BB7AEE">
        <w:rPr>
          <w:iCs/>
        </w:rPr>
        <w:t>, которая устанавливает требовани</w:t>
      </w:r>
      <w:r>
        <w:rPr>
          <w:iCs/>
        </w:rPr>
        <w:t>я</w:t>
      </w:r>
      <w:r w:rsidRPr="00BB7AEE">
        <w:rPr>
          <w:iCs/>
        </w:rPr>
        <w:t xml:space="preserve"> о предоставлении </w:t>
      </w:r>
      <w:r>
        <w:rPr>
          <w:iCs/>
        </w:rPr>
        <w:t xml:space="preserve">в составе проекта областного бюджета перечня областных целевых программ, предлагаемых к финансированию на очередной финансовый год и на плановый период с указанием объемов финансирования, а также предоставлении вместе </w:t>
      </w:r>
      <w:r w:rsidRPr="00BB7AEE">
        <w:rPr>
          <w:iCs/>
        </w:rPr>
        <w:t xml:space="preserve">с проектом областного бюджета </w:t>
      </w:r>
      <w:r w:rsidRPr="00BB7AEE">
        <w:t>отчет</w:t>
      </w:r>
      <w:r>
        <w:t>а</w:t>
      </w:r>
      <w:r w:rsidRPr="00BB7AEE">
        <w:t xml:space="preserve"> о реализации</w:t>
      </w:r>
      <w:proofErr w:type="gramEnd"/>
      <w:r w:rsidRPr="00BB7AEE">
        <w:t xml:space="preserve"> областных целевых программ, без указания на их тип (долгосрочные, ведомственные, и</w:t>
      </w:r>
      <w:r>
        <w:t>ные программы и обязательства). Д</w:t>
      </w:r>
      <w:r w:rsidRPr="00BB7AEE">
        <w:t xml:space="preserve">ействующее бюджетное законодательство не раскрывает понятие «областная целевая программа». </w:t>
      </w:r>
    </w:p>
    <w:p w:rsidR="00C83EEA" w:rsidRPr="005202AB" w:rsidRDefault="00C83EEA" w:rsidP="00C83EEA">
      <w:pPr>
        <w:ind w:left="540"/>
        <w:jc w:val="both"/>
        <w:rPr>
          <w:i/>
        </w:rPr>
      </w:pPr>
      <w:r>
        <w:tab/>
      </w:r>
    </w:p>
    <w:p w:rsidR="00C83EEA" w:rsidRDefault="00C83EEA" w:rsidP="00C83EEA">
      <w:pPr>
        <w:tabs>
          <w:tab w:val="left" w:pos="720"/>
        </w:tabs>
        <w:autoSpaceDE w:val="0"/>
        <w:autoSpaceDN w:val="0"/>
        <w:adjustRightInd w:val="0"/>
        <w:jc w:val="both"/>
        <w:rPr>
          <w:b/>
        </w:rPr>
      </w:pPr>
      <w:r>
        <w:rPr>
          <w:b/>
        </w:rPr>
        <w:t>6.2 Отдельные вопросы формирования расходов.</w:t>
      </w:r>
    </w:p>
    <w:p w:rsidR="00C83EEA" w:rsidRDefault="00C83EEA" w:rsidP="00C83EEA">
      <w:pPr>
        <w:pStyle w:val="ConsPlusNormal"/>
        <w:widowControl/>
        <w:tabs>
          <w:tab w:val="left" w:pos="720"/>
        </w:tabs>
        <w:ind w:firstLine="540"/>
        <w:jc w:val="both"/>
        <w:rPr>
          <w:rFonts w:ascii="Times New Roman" w:hAnsi="Times New Roman" w:cs="Times New Roman"/>
          <w:sz w:val="24"/>
          <w:szCs w:val="24"/>
        </w:rPr>
      </w:pPr>
      <w:r>
        <w:rPr>
          <w:rFonts w:ascii="Times New Roman" w:hAnsi="Times New Roman" w:cs="Times New Roman"/>
          <w:b/>
          <w:sz w:val="24"/>
          <w:szCs w:val="24"/>
        </w:rPr>
        <w:t xml:space="preserve">Вед. 801. </w:t>
      </w:r>
      <w:r>
        <w:rPr>
          <w:rFonts w:ascii="Times New Roman" w:hAnsi="Times New Roman" w:cs="Times New Roman"/>
          <w:sz w:val="24"/>
          <w:szCs w:val="24"/>
        </w:rPr>
        <w:t>Планируемые бюджетные ассигнования</w:t>
      </w:r>
      <w:r>
        <w:rPr>
          <w:rFonts w:ascii="Times New Roman" w:hAnsi="Times New Roman" w:cs="Times New Roman"/>
          <w:b/>
          <w:sz w:val="24"/>
          <w:szCs w:val="24"/>
        </w:rPr>
        <w:t xml:space="preserve"> </w:t>
      </w:r>
      <w:r w:rsidRPr="00305261">
        <w:rPr>
          <w:rFonts w:ascii="Times New Roman" w:hAnsi="Times New Roman" w:cs="Times New Roman"/>
          <w:sz w:val="24"/>
          <w:szCs w:val="24"/>
        </w:rPr>
        <w:t xml:space="preserve">по программным расходам </w:t>
      </w:r>
      <w:r>
        <w:rPr>
          <w:rFonts w:ascii="Times New Roman" w:hAnsi="Times New Roman" w:cs="Times New Roman"/>
          <w:sz w:val="24"/>
          <w:szCs w:val="24"/>
        </w:rPr>
        <w:t>Департамента по управлению государственной собственностью Томской области</w:t>
      </w:r>
      <w:r w:rsidRPr="00305261">
        <w:rPr>
          <w:rFonts w:ascii="Times New Roman" w:hAnsi="Times New Roman" w:cs="Times New Roman"/>
          <w:sz w:val="24"/>
          <w:szCs w:val="24"/>
        </w:rPr>
        <w:t xml:space="preserve"> на реализацию</w:t>
      </w:r>
      <w:r>
        <w:rPr>
          <w:rFonts w:ascii="Times New Roman" w:hAnsi="Times New Roman" w:cs="Times New Roman"/>
          <w:b/>
          <w:sz w:val="24"/>
          <w:szCs w:val="24"/>
        </w:rPr>
        <w:t xml:space="preserve"> </w:t>
      </w:r>
      <w:r>
        <w:rPr>
          <w:rFonts w:ascii="Times New Roman" w:hAnsi="Times New Roman" w:cs="Times New Roman"/>
          <w:sz w:val="24"/>
          <w:szCs w:val="24"/>
        </w:rPr>
        <w:t>ведо</w:t>
      </w:r>
      <w:r>
        <w:rPr>
          <w:rFonts w:ascii="Times New Roman" w:hAnsi="Times New Roman" w:cs="Times New Roman"/>
          <w:sz w:val="24"/>
          <w:szCs w:val="24"/>
        </w:rPr>
        <w:t>м</w:t>
      </w:r>
      <w:r>
        <w:rPr>
          <w:rFonts w:ascii="Times New Roman" w:hAnsi="Times New Roman" w:cs="Times New Roman"/>
          <w:sz w:val="24"/>
          <w:szCs w:val="24"/>
        </w:rPr>
        <w:t>ственной целевой программы «Содержание и ремонт объектов областного государстве</w:t>
      </w:r>
      <w:r>
        <w:rPr>
          <w:rFonts w:ascii="Times New Roman" w:hAnsi="Times New Roman" w:cs="Times New Roman"/>
          <w:sz w:val="24"/>
          <w:szCs w:val="24"/>
        </w:rPr>
        <w:t>н</w:t>
      </w:r>
      <w:r>
        <w:rPr>
          <w:rFonts w:ascii="Times New Roman" w:hAnsi="Times New Roman" w:cs="Times New Roman"/>
          <w:sz w:val="24"/>
          <w:szCs w:val="24"/>
        </w:rPr>
        <w:t xml:space="preserve">ного имущества» на 2013 год составляют 21 375,9 </w:t>
      </w:r>
      <w:proofErr w:type="spellStart"/>
      <w:r>
        <w:rPr>
          <w:rFonts w:ascii="Times New Roman" w:hAnsi="Times New Roman" w:cs="Times New Roman"/>
          <w:sz w:val="24"/>
          <w:szCs w:val="24"/>
        </w:rPr>
        <w:t>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w:t>
      </w:r>
      <w:proofErr w:type="spellEnd"/>
      <w:r>
        <w:rPr>
          <w:rFonts w:ascii="Times New Roman" w:hAnsi="Times New Roman" w:cs="Times New Roman"/>
          <w:sz w:val="24"/>
          <w:szCs w:val="24"/>
        </w:rPr>
        <w:t xml:space="preserve">., из них: 12 950,9 </w:t>
      </w:r>
      <w:proofErr w:type="spellStart"/>
      <w:r>
        <w:rPr>
          <w:rFonts w:ascii="Times New Roman" w:hAnsi="Times New Roman" w:cs="Times New Roman"/>
          <w:sz w:val="24"/>
          <w:szCs w:val="24"/>
        </w:rPr>
        <w:t>тыс.руб</w:t>
      </w:r>
      <w:proofErr w:type="spellEnd"/>
      <w:r>
        <w:rPr>
          <w:rFonts w:ascii="Times New Roman" w:hAnsi="Times New Roman" w:cs="Times New Roman"/>
          <w:sz w:val="24"/>
          <w:szCs w:val="24"/>
        </w:rPr>
        <w:t xml:space="preserve">. - на обеспечение деятельности ОГБСУ «Областное имущественное казначейство» (субсидия на финансовое обеспечение государственного задания на оказание государственных услуг по содержанию и организации ремонта объектов областной собственности, находящихся в оперативном управлении данного учреждения); 8 425,0 </w:t>
      </w:r>
      <w:proofErr w:type="spellStart"/>
      <w:r>
        <w:rPr>
          <w:rFonts w:ascii="Times New Roman" w:hAnsi="Times New Roman" w:cs="Times New Roman"/>
          <w:sz w:val="24"/>
          <w:szCs w:val="24"/>
        </w:rPr>
        <w:t>тыс.руб</w:t>
      </w:r>
      <w:proofErr w:type="spellEnd"/>
      <w:r>
        <w:rPr>
          <w:rFonts w:ascii="Times New Roman" w:hAnsi="Times New Roman" w:cs="Times New Roman"/>
          <w:sz w:val="24"/>
          <w:szCs w:val="24"/>
        </w:rPr>
        <w:t>. - на проведение кап</w:t>
      </w:r>
      <w:r>
        <w:rPr>
          <w:rFonts w:ascii="Times New Roman" w:hAnsi="Times New Roman" w:cs="Times New Roman"/>
          <w:sz w:val="24"/>
          <w:szCs w:val="24"/>
        </w:rPr>
        <w:t>и</w:t>
      </w:r>
      <w:r>
        <w:rPr>
          <w:rFonts w:ascii="Times New Roman" w:hAnsi="Times New Roman" w:cs="Times New Roman"/>
          <w:sz w:val="24"/>
          <w:szCs w:val="24"/>
        </w:rPr>
        <w:t xml:space="preserve">тального ремонта </w:t>
      </w:r>
      <w:r w:rsidRPr="004B4DCF">
        <w:rPr>
          <w:rFonts w:ascii="Times New Roman" w:hAnsi="Times New Roman" w:cs="Times New Roman"/>
          <w:sz w:val="24"/>
          <w:szCs w:val="24"/>
        </w:rPr>
        <w:t>одного о</w:t>
      </w:r>
      <w:r>
        <w:rPr>
          <w:rFonts w:ascii="Times New Roman" w:hAnsi="Times New Roman" w:cs="Times New Roman"/>
          <w:sz w:val="24"/>
          <w:szCs w:val="24"/>
        </w:rPr>
        <w:t xml:space="preserve">бъекта недвижимости, </w:t>
      </w:r>
      <w:r>
        <w:rPr>
          <w:rFonts w:ascii="Times New Roman" w:hAnsi="Times New Roman" w:cs="Times New Roman"/>
          <w:sz w:val="24"/>
          <w:szCs w:val="24"/>
        </w:rPr>
        <w:lastRenderedPageBreak/>
        <w:t xml:space="preserve">закрепленного за указанным областным учреждением - Дома ветеранов, расположенного по адресу: г. Колпашево, </w:t>
      </w:r>
      <w:proofErr w:type="spellStart"/>
      <w:r>
        <w:rPr>
          <w:rFonts w:ascii="Times New Roman" w:hAnsi="Times New Roman" w:cs="Times New Roman"/>
          <w:sz w:val="24"/>
          <w:szCs w:val="24"/>
        </w:rPr>
        <w:t>мкр</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еолог</w:t>
      </w:r>
      <w:proofErr w:type="spellEnd"/>
      <w:r>
        <w:rPr>
          <w:rFonts w:ascii="Times New Roman" w:hAnsi="Times New Roman" w:cs="Times New Roman"/>
          <w:sz w:val="24"/>
          <w:szCs w:val="24"/>
        </w:rPr>
        <w:t xml:space="preserve">, 21, помещения 2, 3. </w:t>
      </w:r>
    </w:p>
    <w:p w:rsidR="00C83EEA" w:rsidRDefault="00C83EEA" w:rsidP="00C83EEA">
      <w:pPr>
        <w:pStyle w:val="ConsPlusNormal"/>
        <w:widowControl/>
        <w:tabs>
          <w:tab w:val="left" w:pos="720"/>
        </w:tabs>
        <w:ind w:firstLine="709"/>
        <w:jc w:val="both"/>
        <w:rPr>
          <w:rFonts w:ascii="Times New Roman" w:hAnsi="Times New Roman" w:cs="Times New Roman"/>
          <w:sz w:val="24"/>
          <w:szCs w:val="24"/>
        </w:rPr>
      </w:pPr>
      <w:r>
        <w:rPr>
          <w:rFonts w:ascii="Times New Roman" w:hAnsi="Times New Roman" w:cs="Times New Roman"/>
          <w:sz w:val="24"/>
          <w:szCs w:val="24"/>
        </w:rPr>
        <w:t>Планируемый объем финансирования на обеспечение деятельности ОГБСУ «Обл</w:t>
      </w:r>
      <w:r>
        <w:rPr>
          <w:rFonts w:ascii="Times New Roman" w:hAnsi="Times New Roman" w:cs="Times New Roman"/>
          <w:sz w:val="24"/>
          <w:szCs w:val="24"/>
        </w:rPr>
        <w:t>а</w:t>
      </w:r>
      <w:r>
        <w:rPr>
          <w:rFonts w:ascii="Times New Roman" w:hAnsi="Times New Roman" w:cs="Times New Roman"/>
          <w:sz w:val="24"/>
          <w:szCs w:val="24"/>
        </w:rPr>
        <w:t xml:space="preserve">стное имущественное казначейство» на 2013 год предусмотрен с ростом на 105,5% к объему, установленному на текущий финансовый год (12 281 </w:t>
      </w:r>
      <w:proofErr w:type="spellStart"/>
      <w:r>
        <w:rPr>
          <w:rFonts w:ascii="Times New Roman" w:hAnsi="Times New Roman" w:cs="Times New Roman"/>
          <w:sz w:val="24"/>
          <w:szCs w:val="24"/>
        </w:rPr>
        <w:t>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w:t>
      </w:r>
      <w:proofErr w:type="spellEnd"/>
      <w:r>
        <w:rPr>
          <w:rFonts w:ascii="Times New Roman" w:hAnsi="Times New Roman" w:cs="Times New Roman"/>
          <w:sz w:val="24"/>
          <w:szCs w:val="24"/>
        </w:rPr>
        <w:t>.). В 2012 году да</w:t>
      </w:r>
      <w:r>
        <w:rPr>
          <w:rFonts w:ascii="Times New Roman" w:hAnsi="Times New Roman" w:cs="Times New Roman"/>
          <w:sz w:val="24"/>
          <w:szCs w:val="24"/>
        </w:rPr>
        <w:t>н</w:t>
      </w:r>
      <w:r>
        <w:rPr>
          <w:rFonts w:ascii="Times New Roman" w:hAnsi="Times New Roman" w:cs="Times New Roman"/>
          <w:sz w:val="24"/>
          <w:szCs w:val="24"/>
        </w:rPr>
        <w:t>ным учреждением в соответствии с государственным заданием организован ремонт 12 объе</w:t>
      </w:r>
      <w:r>
        <w:rPr>
          <w:rFonts w:ascii="Times New Roman" w:hAnsi="Times New Roman" w:cs="Times New Roman"/>
          <w:sz w:val="24"/>
          <w:szCs w:val="24"/>
        </w:rPr>
        <w:t>к</w:t>
      </w:r>
      <w:r>
        <w:rPr>
          <w:rFonts w:ascii="Times New Roman" w:hAnsi="Times New Roman" w:cs="Times New Roman"/>
          <w:sz w:val="24"/>
          <w:szCs w:val="24"/>
        </w:rPr>
        <w:t>тов областной собственности, общий объем субсидии на проведение ремонта которых сост</w:t>
      </w:r>
      <w:r>
        <w:rPr>
          <w:rFonts w:ascii="Times New Roman" w:hAnsi="Times New Roman" w:cs="Times New Roman"/>
          <w:sz w:val="24"/>
          <w:szCs w:val="24"/>
        </w:rPr>
        <w:t>а</w:t>
      </w:r>
      <w:r>
        <w:rPr>
          <w:rFonts w:ascii="Times New Roman" w:hAnsi="Times New Roman" w:cs="Times New Roman"/>
          <w:sz w:val="24"/>
          <w:szCs w:val="24"/>
        </w:rPr>
        <w:t xml:space="preserve">вил 85 258,1 </w:t>
      </w:r>
      <w:proofErr w:type="spellStart"/>
      <w:r>
        <w:rPr>
          <w:rFonts w:ascii="Times New Roman" w:hAnsi="Times New Roman" w:cs="Times New Roman"/>
          <w:sz w:val="24"/>
          <w:szCs w:val="24"/>
        </w:rPr>
        <w:t>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w:t>
      </w:r>
      <w:proofErr w:type="spellEnd"/>
      <w:r>
        <w:rPr>
          <w:rFonts w:ascii="Times New Roman" w:hAnsi="Times New Roman" w:cs="Times New Roman"/>
          <w:sz w:val="24"/>
          <w:szCs w:val="24"/>
        </w:rPr>
        <w:t xml:space="preserve">. </w:t>
      </w:r>
    </w:p>
    <w:p w:rsidR="00C83EEA" w:rsidRDefault="00C83EEA" w:rsidP="00C83EEA">
      <w:pPr>
        <w:pStyle w:val="ConsPlusNormal"/>
        <w:widowControl/>
        <w:tabs>
          <w:tab w:val="left" w:pos="720"/>
        </w:tabs>
        <w:ind w:firstLine="709"/>
        <w:jc w:val="both"/>
        <w:rPr>
          <w:rFonts w:ascii="Times New Roman" w:hAnsi="Times New Roman" w:cs="Times New Roman"/>
          <w:sz w:val="24"/>
          <w:szCs w:val="24"/>
        </w:rPr>
      </w:pPr>
      <w:r>
        <w:rPr>
          <w:rFonts w:ascii="Times New Roman" w:hAnsi="Times New Roman" w:cs="Times New Roman"/>
          <w:sz w:val="24"/>
          <w:szCs w:val="24"/>
        </w:rPr>
        <w:t>На 2014 год законопроектом предусмотрены бюджетные ассигнования</w:t>
      </w:r>
      <w:r>
        <w:rPr>
          <w:rFonts w:ascii="Times New Roman" w:hAnsi="Times New Roman" w:cs="Times New Roman"/>
          <w:b/>
          <w:sz w:val="24"/>
          <w:szCs w:val="24"/>
        </w:rPr>
        <w:t xml:space="preserve"> </w:t>
      </w:r>
      <w:r>
        <w:rPr>
          <w:rFonts w:ascii="Times New Roman" w:hAnsi="Times New Roman" w:cs="Times New Roman"/>
          <w:sz w:val="24"/>
          <w:szCs w:val="24"/>
        </w:rPr>
        <w:t>на обесп</w:t>
      </w:r>
      <w:r>
        <w:rPr>
          <w:rFonts w:ascii="Times New Roman" w:hAnsi="Times New Roman" w:cs="Times New Roman"/>
          <w:sz w:val="24"/>
          <w:szCs w:val="24"/>
        </w:rPr>
        <w:t>е</w:t>
      </w:r>
      <w:r>
        <w:rPr>
          <w:rFonts w:ascii="Times New Roman" w:hAnsi="Times New Roman" w:cs="Times New Roman"/>
          <w:sz w:val="24"/>
          <w:szCs w:val="24"/>
        </w:rPr>
        <w:t xml:space="preserve">чение деятельности ОГБСУ «Областное имущественное казначейство» в сумме 13 331,6 </w:t>
      </w:r>
      <w:proofErr w:type="spellStart"/>
      <w:r>
        <w:rPr>
          <w:rFonts w:ascii="Times New Roman" w:hAnsi="Times New Roman" w:cs="Times New Roman"/>
          <w:sz w:val="24"/>
          <w:szCs w:val="24"/>
        </w:rPr>
        <w:t>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w:t>
      </w:r>
      <w:proofErr w:type="spellEnd"/>
      <w:r>
        <w:rPr>
          <w:rFonts w:ascii="Times New Roman" w:hAnsi="Times New Roman" w:cs="Times New Roman"/>
          <w:sz w:val="24"/>
          <w:szCs w:val="24"/>
        </w:rPr>
        <w:t xml:space="preserve">. (с ростом 102,9% к предыдущему году), на 2015 год - в сумме 13 709,0 </w:t>
      </w:r>
      <w:proofErr w:type="spellStart"/>
      <w:r>
        <w:rPr>
          <w:rFonts w:ascii="Times New Roman" w:hAnsi="Times New Roman" w:cs="Times New Roman"/>
          <w:sz w:val="24"/>
          <w:szCs w:val="24"/>
        </w:rPr>
        <w:t>тыс.руб</w:t>
      </w:r>
      <w:proofErr w:type="spellEnd"/>
      <w:r>
        <w:rPr>
          <w:rFonts w:ascii="Times New Roman" w:hAnsi="Times New Roman" w:cs="Times New Roman"/>
          <w:sz w:val="24"/>
          <w:szCs w:val="24"/>
        </w:rPr>
        <w:t>. (102,8% к 2014 году). При этом объектов ремонта нет. В связи с этим необходимо ра</w:t>
      </w:r>
      <w:r>
        <w:rPr>
          <w:rFonts w:ascii="Times New Roman" w:hAnsi="Times New Roman" w:cs="Times New Roman"/>
          <w:sz w:val="24"/>
          <w:szCs w:val="24"/>
        </w:rPr>
        <w:t>с</w:t>
      </w:r>
      <w:r>
        <w:rPr>
          <w:rFonts w:ascii="Times New Roman" w:hAnsi="Times New Roman" w:cs="Times New Roman"/>
          <w:sz w:val="24"/>
          <w:szCs w:val="24"/>
        </w:rPr>
        <w:t>смотреть вопрос об объемах финансирования данной организации.</w:t>
      </w:r>
    </w:p>
    <w:p w:rsidR="00C83EEA" w:rsidRDefault="00C83EEA" w:rsidP="00C83EEA">
      <w:pPr>
        <w:pStyle w:val="ConsPlusNormal"/>
        <w:widowControl/>
        <w:jc w:val="both"/>
        <w:rPr>
          <w:rFonts w:ascii="Times New Roman" w:hAnsi="Times New Roman" w:cs="Times New Roman"/>
          <w:sz w:val="24"/>
          <w:szCs w:val="24"/>
        </w:rPr>
      </w:pPr>
      <w:proofErr w:type="gramStart"/>
      <w:r>
        <w:rPr>
          <w:rFonts w:ascii="Times New Roman" w:hAnsi="Times New Roman" w:cs="Times New Roman"/>
          <w:sz w:val="24"/>
          <w:szCs w:val="24"/>
        </w:rPr>
        <w:t>Кроме того,</w:t>
      </w:r>
      <w:r w:rsidRPr="006051B5">
        <w:rPr>
          <w:rFonts w:ascii="Times New Roman" w:hAnsi="Times New Roman" w:cs="Times New Roman"/>
          <w:sz w:val="24"/>
          <w:szCs w:val="24"/>
        </w:rPr>
        <w:t xml:space="preserve"> </w:t>
      </w:r>
      <w:r>
        <w:rPr>
          <w:rFonts w:ascii="Times New Roman" w:hAnsi="Times New Roman" w:cs="Times New Roman"/>
          <w:sz w:val="24"/>
          <w:szCs w:val="24"/>
        </w:rPr>
        <w:t xml:space="preserve">отметим, что </w:t>
      </w:r>
      <w:r w:rsidRPr="006051B5">
        <w:rPr>
          <w:rFonts w:ascii="Times New Roman" w:hAnsi="Times New Roman" w:cs="Times New Roman"/>
          <w:sz w:val="24"/>
          <w:szCs w:val="24"/>
        </w:rPr>
        <w:t>при расчете планируемых бюджетных ассигнований Д</w:t>
      </w:r>
      <w:r w:rsidRPr="006051B5">
        <w:rPr>
          <w:rFonts w:ascii="Times New Roman" w:hAnsi="Times New Roman" w:cs="Times New Roman"/>
          <w:sz w:val="24"/>
          <w:szCs w:val="24"/>
        </w:rPr>
        <w:t>е</w:t>
      </w:r>
      <w:r w:rsidRPr="006051B5">
        <w:rPr>
          <w:rFonts w:ascii="Times New Roman" w:hAnsi="Times New Roman" w:cs="Times New Roman"/>
          <w:sz w:val="24"/>
          <w:szCs w:val="24"/>
        </w:rPr>
        <w:t>партамента по управлению государственной собственностью Томской области как ГРБС по ведомственной целевой программе «Приватизация областного государственного им</w:t>
      </w:r>
      <w:r w:rsidRPr="006051B5">
        <w:rPr>
          <w:rFonts w:ascii="Times New Roman" w:hAnsi="Times New Roman" w:cs="Times New Roman"/>
          <w:sz w:val="24"/>
          <w:szCs w:val="24"/>
        </w:rPr>
        <w:t>у</w:t>
      </w:r>
      <w:r w:rsidRPr="006051B5">
        <w:rPr>
          <w:rFonts w:ascii="Times New Roman" w:hAnsi="Times New Roman" w:cs="Times New Roman"/>
          <w:sz w:val="24"/>
          <w:szCs w:val="24"/>
        </w:rPr>
        <w:t xml:space="preserve">щества» на 2013 год </w:t>
      </w:r>
      <w:r>
        <w:rPr>
          <w:rFonts w:ascii="Times New Roman" w:hAnsi="Times New Roman" w:cs="Times New Roman"/>
          <w:sz w:val="24"/>
          <w:szCs w:val="24"/>
        </w:rPr>
        <w:t>предусмотрены</w:t>
      </w:r>
      <w:r w:rsidRPr="006051B5">
        <w:rPr>
          <w:rFonts w:ascii="Times New Roman" w:hAnsi="Times New Roman" w:cs="Times New Roman"/>
          <w:sz w:val="24"/>
          <w:szCs w:val="24"/>
        </w:rPr>
        <w:t xml:space="preserve"> расходы по приватизации </w:t>
      </w:r>
      <w:r>
        <w:rPr>
          <w:rFonts w:ascii="Times New Roman" w:hAnsi="Times New Roman" w:cs="Times New Roman"/>
          <w:sz w:val="24"/>
          <w:szCs w:val="24"/>
        </w:rPr>
        <w:t xml:space="preserve">31 объекта недвижимости, 13 земельных участков и 12 объектов движимого имущества, т.е. </w:t>
      </w:r>
      <w:r w:rsidRPr="006051B5">
        <w:rPr>
          <w:rFonts w:ascii="Times New Roman" w:hAnsi="Times New Roman" w:cs="Times New Roman"/>
          <w:sz w:val="24"/>
          <w:szCs w:val="24"/>
        </w:rPr>
        <w:t xml:space="preserve">не только объектов, </w:t>
      </w:r>
      <w:r>
        <w:rPr>
          <w:rFonts w:ascii="Times New Roman" w:hAnsi="Times New Roman" w:cs="Times New Roman"/>
          <w:sz w:val="24"/>
          <w:szCs w:val="24"/>
        </w:rPr>
        <w:t xml:space="preserve">фактически </w:t>
      </w:r>
      <w:r w:rsidRPr="006051B5">
        <w:rPr>
          <w:rFonts w:ascii="Times New Roman" w:hAnsi="Times New Roman" w:cs="Times New Roman"/>
          <w:sz w:val="24"/>
          <w:szCs w:val="24"/>
        </w:rPr>
        <w:t xml:space="preserve">включенных в </w:t>
      </w:r>
      <w:r>
        <w:rPr>
          <w:rFonts w:ascii="Times New Roman" w:hAnsi="Times New Roman" w:cs="Times New Roman"/>
          <w:sz w:val="24"/>
          <w:szCs w:val="24"/>
        </w:rPr>
        <w:t>П</w:t>
      </w:r>
      <w:r w:rsidRPr="006051B5">
        <w:rPr>
          <w:rFonts w:ascii="Times New Roman" w:hAnsi="Times New Roman" w:cs="Times New Roman"/>
          <w:sz w:val="24"/>
          <w:szCs w:val="24"/>
        </w:rPr>
        <w:t xml:space="preserve">рограмму на 2013 год, но и </w:t>
      </w:r>
      <w:r>
        <w:rPr>
          <w:rFonts w:ascii="Times New Roman" w:hAnsi="Times New Roman" w:cs="Times New Roman"/>
          <w:sz w:val="24"/>
          <w:szCs w:val="24"/>
        </w:rPr>
        <w:t xml:space="preserve">дополнительных </w:t>
      </w:r>
      <w:r w:rsidRPr="006051B5">
        <w:rPr>
          <w:rFonts w:ascii="Times New Roman" w:hAnsi="Times New Roman" w:cs="Times New Roman"/>
          <w:sz w:val="24"/>
          <w:szCs w:val="24"/>
        </w:rPr>
        <w:t>объектов</w:t>
      </w:r>
      <w:proofErr w:type="gramEnd"/>
      <w:r>
        <w:rPr>
          <w:rFonts w:ascii="Times New Roman" w:hAnsi="Times New Roman" w:cs="Times New Roman"/>
          <w:sz w:val="24"/>
          <w:szCs w:val="24"/>
        </w:rPr>
        <w:t xml:space="preserve"> (</w:t>
      </w:r>
      <w:r w:rsidRPr="006051B5">
        <w:rPr>
          <w:rFonts w:ascii="Times New Roman" w:hAnsi="Times New Roman" w:cs="Times New Roman"/>
          <w:sz w:val="24"/>
          <w:szCs w:val="24"/>
        </w:rPr>
        <w:t>потенц</w:t>
      </w:r>
      <w:r w:rsidRPr="006051B5">
        <w:rPr>
          <w:rFonts w:ascii="Times New Roman" w:hAnsi="Times New Roman" w:cs="Times New Roman"/>
          <w:sz w:val="24"/>
          <w:szCs w:val="24"/>
        </w:rPr>
        <w:t>и</w:t>
      </w:r>
      <w:r w:rsidRPr="006051B5">
        <w:rPr>
          <w:rFonts w:ascii="Times New Roman" w:hAnsi="Times New Roman" w:cs="Times New Roman"/>
          <w:sz w:val="24"/>
          <w:szCs w:val="24"/>
        </w:rPr>
        <w:t xml:space="preserve">альных для формирования </w:t>
      </w:r>
      <w:r>
        <w:rPr>
          <w:rFonts w:ascii="Times New Roman" w:hAnsi="Times New Roman" w:cs="Times New Roman"/>
          <w:sz w:val="24"/>
          <w:szCs w:val="24"/>
        </w:rPr>
        <w:t>П</w:t>
      </w:r>
      <w:r w:rsidRPr="006051B5">
        <w:rPr>
          <w:rFonts w:ascii="Times New Roman" w:hAnsi="Times New Roman" w:cs="Times New Roman"/>
          <w:sz w:val="24"/>
          <w:szCs w:val="24"/>
        </w:rPr>
        <w:t xml:space="preserve">рогнозного плана приватизации на </w:t>
      </w:r>
      <w:r>
        <w:rPr>
          <w:rFonts w:ascii="Times New Roman" w:hAnsi="Times New Roman" w:cs="Times New Roman"/>
          <w:sz w:val="24"/>
          <w:szCs w:val="24"/>
        </w:rPr>
        <w:t xml:space="preserve">2013, </w:t>
      </w:r>
      <w:smartTag w:uri="urn:schemas-microsoft-com:office:smarttags" w:element="metricconverter">
        <w:smartTagPr>
          <w:attr w:name="ProductID" w:val="2014 г"/>
        </w:smartTagPr>
        <w:r w:rsidRPr="006051B5">
          <w:rPr>
            <w:rFonts w:ascii="Times New Roman" w:hAnsi="Times New Roman" w:cs="Times New Roman"/>
            <w:sz w:val="24"/>
            <w:szCs w:val="24"/>
          </w:rPr>
          <w:t xml:space="preserve">2014 </w:t>
        </w:r>
        <w:proofErr w:type="spellStart"/>
        <w:r w:rsidRPr="006051B5">
          <w:rPr>
            <w:rFonts w:ascii="Times New Roman" w:hAnsi="Times New Roman" w:cs="Times New Roman"/>
            <w:sz w:val="24"/>
            <w:szCs w:val="24"/>
          </w:rPr>
          <w:t>г</w:t>
        </w:r>
      </w:smartTag>
      <w:r>
        <w:rPr>
          <w:rFonts w:ascii="Times New Roman" w:hAnsi="Times New Roman" w:cs="Times New Roman"/>
          <w:sz w:val="24"/>
          <w:szCs w:val="24"/>
        </w:rPr>
        <w:t>.г</w:t>
      </w:r>
      <w:proofErr w:type="spellEnd"/>
      <w:r>
        <w:rPr>
          <w:rFonts w:ascii="Times New Roman" w:hAnsi="Times New Roman" w:cs="Times New Roman"/>
          <w:sz w:val="24"/>
          <w:szCs w:val="24"/>
        </w:rPr>
        <w:t>.) в колич</w:t>
      </w:r>
      <w:r>
        <w:rPr>
          <w:rFonts w:ascii="Times New Roman" w:hAnsi="Times New Roman" w:cs="Times New Roman"/>
          <w:sz w:val="24"/>
          <w:szCs w:val="24"/>
        </w:rPr>
        <w:t>е</w:t>
      </w:r>
      <w:r>
        <w:rPr>
          <w:rFonts w:ascii="Times New Roman" w:hAnsi="Times New Roman" w:cs="Times New Roman"/>
          <w:sz w:val="24"/>
          <w:szCs w:val="24"/>
        </w:rPr>
        <w:t>стве</w:t>
      </w:r>
      <w:r w:rsidRPr="006051B5">
        <w:rPr>
          <w:rFonts w:ascii="Times New Roman" w:hAnsi="Times New Roman" w:cs="Times New Roman"/>
          <w:sz w:val="24"/>
          <w:szCs w:val="24"/>
        </w:rPr>
        <w:t xml:space="preserve"> </w:t>
      </w:r>
      <w:r>
        <w:rPr>
          <w:rFonts w:ascii="Times New Roman" w:hAnsi="Times New Roman" w:cs="Times New Roman"/>
          <w:sz w:val="24"/>
          <w:szCs w:val="24"/>
        </w:rPr>
        <w:t>9 земельных участков, 25 объектов недвижимости, 5 автомобилей и 4 единиц обор</w:t>
      </w:r>
      <w:r>
        <w:rPr>
          <w:rFonts w:ascii="Times New Roman" w:hAnsi="Times New Roman" w:cs="Times New Roman"/>
          <w:sz w:val="24"/>
          <w:szCs w:val="24"/>
        </w:rPr>
        <w:t>у</w:t>
      </w:r>
      <w:r>
        <w:rPr>
          <w:rFonts w:ascii="Times New Roman" w:hAnsi="Times New Roman" w:cs="Times New Roman"/>
          <w:sz w:val="24"/>
          <w:szCs w:val="24"/>
        </w:rPr>
        <w:t>дования</w:t>
      </w:r>
      <w:r w:rsidRPr="006051B5">
        <w:rPr>
          <w:rFonts w:ascii="Times New Roman" w:hAnsi="Times New Roman" w:cs="Times New Roman"/>
          <w:sz w:val="24"/>
          <w:szCs w:val="24"/>
        </w:rPr>
        <w:t xml:space="preserve">. </w:t>
      </w:r>
    </w:p>
    <w:p w:rsidR="00C83EEA" w:rsidRDefault="00C83EEA" w:rsidP="00C83EEA">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В целях соблюдения принципа сбалансированности бюджета расходы на приватизацию объектов облас</w:t>
      </w:r>
      <w:r>
        <w:rPr>
          <w:rFonts w:ascii="Times New Roman" w:hAnsi="Times New Roman" w:cs="Times New Roman"/>
          <w:sz w:val="24"/>
          <w:szCs w:val="24"/>
        </w:rPr>
        <w:t>т</w:t>
      </w:r>
      <w:r>
        <w:rPr>
          <w:rFonts w:ascii="Times New Roman" w:hAnsi="Times New Roman" w:cs="Times New Roman"/>
          <w:sz w:val="24"/>
          <w:szCs w:val="24"/>
        </w:rPr>
        <w:t>ного имущества следует планировать в соответствии с количеством объектов, включенных в Прогнозный план приватизации. Таким образом, требуется ко</w:t>
      </w:r>
      <w:r>
        <w:rPr>
          <w:rFonts w:ascii="Times New Roman" w:hAnsi="Times New Roman" w:cs="Times New Roman"/>
          <w:sz w:val="24"/>
          <w:szCs w:val="24"/>
        </w:rPr>
        <w:t>р</w:t>
      </w:r>
      <w:r>
        <w:rPr>
          <w:rFonts w:ascii="Times New Roman" w:hAnsi="Times New Roman" w:cs="Times New Roman"/>
          <w:sz w:val="24"/>
          <w:szCs w:val="24"/>
        </w:rPr>
        <w:t>ректировка Прогнозного плана приватизации - увеличение состава объектов и суммы пл</w:t>
      </w:r>
      <w:r>
        <w:rPr>
          <w:rFonts w:ascii="Times New Roman" w:hAnsi="Times New Roman" w:cs="Times New Roman"/>
          <w:sz w:val="24"/>
          <w:szCs w:val="24"/>
        </w:rPr>
        <w:t>а</w:t>
      </w:r>
      <w:r>
        <w:rPr>
          <w:rFonts w:ascii="Times New Roman" w:hAnsi="Times New Roman" w:cs="Times New Roman"/>
          <w:sz w:val="24"/>
          <w:szCs w:val="24"/>
        </w:rPr>
        <w:t>нируемых доходов бюджета (либо уменьшение суммы расходов на приватизацию по данной строке).</w:t>
      </w:r>
    </w:p>
    <w:p w:rsidR="00C83EEA" w:rsidRDefault="00C83EEA" w:rsidP="00C83EEA">
      <w:pPr>
        <w:pStyle w:val="ConsPlusNormal"/>
        <w:widowControl/>
        <w:jc w:val="both"/>
        <w:rPr>
          <w:rFonts w:ascii="Times New Roman" w:hAnsi="Times New Roman" w:cs="Times New Roman"/>
          <w:sz w:val="24"/>
          <w:szCs w:val="24"/>
        </w:rPr>
      </w:pPr>
      <w:r w:rsidRPr="006538C5">
        <w:rPr>
          <w:rFonts w:ascii="Times New Roman" w:hAnsi="Times New Roman" w:cs="Times New Roman"/>
          <w:b/>
          <w:sz w:val="24"/>
          <w:szCs w:val="24"/>
        </w:rPr>
        <w:t>Вед.</w:t>
      </w:r>
      <w:r>
        <w:rPr>
          <w:rFonts w:ascii="Times New Roman" w:hAnsi="Times New Roman" w:cs="Times New Roman"/>
          <w:b/>
          <w:sz w:val="24"/>
          <w:szCs w:val="24"/>
        </w:rPr>
        <w:t xml:space="preserve"> </w:t>
      </w:r>
      <w:r w:rsidRPr="006538C5">
        <w:rPr>
          <w:rFonts w:ascii="Times New Roman" w:hAnsi="Times New Roman" w:cs="Times New Roman"/>
          <w:b/>
          <w:sz w:val="24"/>
          <w:szCs w:val="24"/>
        </w:rPr>
        <w:t>841</w:t>
      </w:r>
      <w:r>
        <w:rPr>
          <w:rFonts w:ascii="Times New Roman" w:hAnsi="Times New Roman" w:cs="Times New Roman"/>
          <w:sz w:val="24"/>
          <w:szCs w:val="24"/>
        </w:rPr>
        <w:t xml:space="preserve">. Ассигнования на осуществление ежемесячной выплаты денежных средств приемным семьям на содержание детей, а также вознаграждения, причитающегося приемным родителям, в сумме 448 548,0 </w:t>
      </w:r>
      <w:proofErr w:type="spellStart"/>
      <w:r>
        <w:rPr>
          <w:rFonts w:ascii="Times New Roman" w:hAnsi="Times New Roman" w:cs="Times New Roman"/>
          <w:sz w:val="24"/>
          <w:szCs w:val="24"/>
        </w:rPr>
        <w:t>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w:t>
      </w:r>
      <w:proofErr w:type="spellEnd"/>
      <w:r>
        <w:rPr>
          <w:rFonts w:ascii="Times New Roman" w:hAnsi="Times New Roman" w:cs="Times New Roman"/>
          <w:sz w:val="24"/>
          <w:szCs w:val="24"/>
        </w:rPr>
        <w:t xml:space="preserve">. запланированы на 2013 год с ростом к объему текущего года (с учетом изменений в октябре) 122%. Суммарно рост составляет 80 733 </w:t>
      </w:r>
      <w:proofErr w:type="spellStart"/>
      <w:r>
        <w:rPr>
          <w:rFonts w:ascii="Times New Roman" w:hAnsi="Times New Roman" w:cs="Times New Roman"/>
          <w:sz w:val="24"/>
          <w:szCs w:val="24"/>
        </w:rPr>
        <w:t>тыс.руб</w:t>
      </w:r>
      <w:proofErr w:type="spellEnd"/>
      <w:r>
        <w:rPr>
          <w:rFonts w:ascii="Times New Roman" w:hAnsi="Times New Roman" w:cs="Times New Roman"/>
          <w:sz w:val="24"/>
          <w:szCs w:val="24"/>
        </w:rPr>
        <w:t xml:space="preserve">. Исходя из того, что по данному виду расходов ежегодно при формировании бюджета закладываются значительные излишние ассигнования, о чем </w:t>
      </w:r>
      <w:proofErr w:type="gramStart"/>
      <w:r>
        <w:rPr>
          <w:rFonts w:ascii="Times New Roman" w:hAnsi="Times New Roman" w:cs="Times New Roman"/>
          <w:sz w:val="24"/>
          <w:szCs w:val="24"/>
        </w:rPr>
        <w:t>Контрольно-счетная</w:t>
      </w:r>
      <w:proofErr w:type="gramEnd"/>
      <w:r>
        <w:rPr>
          <w:rFonts w:ascii="Times New Roman" w:hAnsi="Times New Roman" w:cs="Times New Roman"/>
          <w:sz w:val="24"/>
          <w:szCs w:val="24"/>
        </w:rPr>
        <w:t xml:space="preserve"> палата информировала в заключениях на отчет об исполнении бюджета за прошлые годы, целесообразно произвести точный расчет потребности. По оценке Контрольно-счетной палаты излишне запланировано 58 </w:t>
      </w:r>
      <w:proofErr w:type="spellStart"/>
      <w:r>
        <w:rPr>
          <w:rFonts w:ascii="Times New Roman" w:hAnsi="Times New Roman" w:cs="Times New Roman"/>
          <w:sz w:val="24"/>
          <w:szCs w:val="24"/>
        </w:rPr>
        <w:t>млн</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w:t>
      </w:r>
      <w:proofErr w:type="spellEnd"/>
      <w:r>
        <w:rPr>
          <w:rFonts w:ascii="Times New Roman" w:hAnsi="Times New Roman" w:cs="Times New Roman"/>
          <w:sz w:val="24"/>
          <w:szCs w:val="24"/>
        </w:rPr>
        <w:t>.</w:t>
      </w:r>
    </w:p>
    <w:p w:rsidR="00C83EEA" w:rsidRDefault="00C83EEA" w:rsidP="00C83EEA">
      <w:pPr>
        <w:pStyle w:val="ConsPlusNormal"/>
        <w:widowControl/>
        <w:jc w:val="both"/>
      </w:pPr>
    </w:p>
    <w:p w:rsidR="00C83EEA" w:rsidRPr="006E74B8" w:rsidRDefault="00C83EEA" w:rsidP="00C83EEA">
      <w:pPr>
        <w:rPr>
          <w:b/>
        </w:rPr>
      </w:pPr>
      <w:r>
        <w:rPr>
          <w:b/>
        </w:rPr>
        <w:t>6</w:t>
      </w:r>
      <w:r w:rsidRPr="00826AD0">
        <w:rPr>
          <w:b/>
        </w:rPr>
        <w:t>.3 Межбюджетные</w:t>
      </w:r>
      <w:r w:rsidRPr="006E74B8">
        <w:rPr>
          <w:b/>
        </w:rPr>
        <w:t xml:space="preserve"> трансферты местным бюджетам</w:t>
      </w:r>
      <w:r>
        <w:rPr>
          <w:b/>
        </w:rPr>
        <w:t>.</w:t>
      </w:r>
    </w:p>
    <w:p w:rsidR="00C83EEA" w:rsidRPr="006E74B8" w:rsidRDefault="00C83EEA" w:rsidP="00C83EEA">
      <w:pPr>
        <w:ind w:firstLine="720"/>
        <w:jc w:val="both"/>
      </w:pPr>
      <w:r w:rsidRPr="00E905E6">
        <w:t>Законопроектом (Приложение 16) утверждено</w:t>
      </w:r>
      <w:r w:rsidRPr="006E74B8">
        <w:t xml:space="preserve"> распределение местным бюджетам Томской области </w:t>
      </w:r>
      <w:r>
        <w:t xml:space="preserve">60-ти </w:t>
      </w:r>
      <w:r w:rsidRPr="006E74B8">
        <w:t xml:space="preserve">межбюджетных трансфертов с учетом формы трансфертов и трехлетнего планирования: </w:t>
      </w:r>
    </w:p>
    <w:tbl>
      <w:tblPr>
        <w:tblW w:w="0" w:type="auto"/>
        <w:tblInd w:w="108" w:type="dxa"/>
        <w:tblLook w:val="01E0" w:firstRow="1" w:lastRow="1" w:firstColumn="1" w:lastColumn="1" w:noHBand="0" w:noVBand="0"/>
      </w:tblPr>
      <w:tblGrid>
        <w:gridCol w:w="1548"/>
        <w:gridCol w:w="2393"/>
      </w:tblGrid>
      <w:tr w:rsidR="00C83EEA" w:rsidRPr="006E74B8" w:rsidTr="009F24E6">
        <w:tc>
          <w:tcPr>
            <w:tcW w:w="1548" w:type="dxa"/>
            <w:shd w:val="clear" w:color="auto" w:fill="auto"/>
          </w:tcPr>
          <w:p w:rsidR="00C83EEA" w:rsidRPr="006E74B8" w:rsidRDefault="00C83EEA" w:rsidP="009F24E6">
            <w:pPr>
              <w:ind w:left="-2988" w:firstLine="2988"/>
              <w:jc w:val="both"/>
            </w:pPr>
            <w:r>
              <w:t>д</w:t>
            </w:r>
            <w:r w:rsidRPr="006E74B8">
              <w:t>отации</w:t>
            </w:r>
          </w:p>
        </w:tc>
        <w:tc>
          <w:tcPr>
            <w:tcW w:w="2393" w:type="dxa"/>
            <w:shd w:val="clear" w:color="auto" w:fill="auto"/>
          </w:tcPr>
          <w:p w:rsidR="00C83EEA" w:rsidRPr="006E74B8" w:rsidRDefault="00C83EEA" w:rsidP="009F24E6">
            <w:pPr>
              <w:ind w:left="-2988" w:firstLine="2988"/>
              <w:jc w:val="both"/>
            </w:pPr>
            <w:r w:rsidRPr="006E74B8">
              <w:t xml:space="preserve">- </w:t>
            </w:r>
            <w:r>
              <w:t xml:space="preserve">  </w:t>
            </w:r>
            <w:r w:rsidRPr="006E74B8">
              <w:t>4</w:t>
            </w:r>
          </w:p>
        </w:tc>
      </w:tr>
      <w:tr w:rsidR="00C83EEA" w:rsidRPr="006E74B8" w:rsidTr="009F24E6">
        <w:tc>
          <w:tcPr>
            <w:tcW w:w="1548" w:type="dxa"/>
            <w:shd w:val="clear" w:color="auto" w:fill="auto"/>
          </w:tcPr>
          <w:p w:rsidR="00C83EEA" w:rsidRPr="006E74B8" w:rsidRDefault="00C83EEA" w:rsidP="009F24E6">
            <w:pPr>
              <w:ind w:left="-2988" w:firstLine="2988"/>
              <w:jc w:val="both"/>
            </w:pPr>
            <w:r>
              <w:t>с</w:t>
            </w:r>
            <w:r w:rsidRPr="006E74B8">
              <w:t>убсидии</w:t>
            </w:r>
          </w:p>
        </w:tc>
        <w:tc>
          <w:tcPr>
            <w:tcW w:w="2393" w:type="dxa"/>
            <w:shd w:val="clear" w:color="auto" w:fill="auto"/>
          </w:tcPr>
          <w:p w:rsidR="00C83EEA" w:rsidRPr="006E74B8" w:rsidRDefault="00C83EEA" w:rsidP="009F24E6">
            <w:pPr>
              <w:ind w:left="-2988" w:firstLine="2988"/>
              <w:jc w:val="both"/>
            </w:pPr>
            <w:r w:rsidRPr="006E74B8">
              <w:t>- 20</w:t>
            </w:r>
          </w:p>
        </w:tc>
      </w:tr>
      <w:tr w:rsidR="00C83EEA" w:rsidRPr="006E74B8" w:rsidTr="009F24E6">
        <w:tc>
          <w:tcPr>
            <w:tcW w:w="1548" w:type="dxa"/>
            <w:shd w:val="clear" w:color="auto" w:fill="auto"/>
          </w:tcPr>
          <w:p w:rsidR="00C83EEA" w:rsidRPr="006E74B8" w:rsidRDefault="00C83EEA" w:rsidP="009F24E6">
            <w:pPr>
              <w:ind w:left="-2988" w:firstLine="2988"/>
              <w:jc w:val="both"/>
            </w:pPr>
            <w:r>
              <w:t>с</w:t>
            </w:r>
            <w:r w:rsidRPr="006E74B8">
              <w:t xml:space="preserve">убвенции  </w:t>
            </w:r>
          </w:p>
        </w:tc>
        <w:tc>
          <w:tcPr>
            <w:tcW w:w="2393" w:type="dxa"/>
            <w:shd w:val="clear" w:color="auto" w:fill="auto"/>
          </w:tcPr>
          <w:p w:rsidR="00C83EEA" w:rsidRPr="006E74B8" w:rsidRDefault="00C83EEA" w:rsidP="009F24E6">
            <w:pPr>
              <w:ind w:left="-2988" w:firstLine="2988"/>
              <w:jc w:val="both"/>
            </w:pPr>
            <w:r w:rsidRPr="006E74B8">
              <w:t>- 27</w:t>
            </w:r>
          </w:p>
        </w:tc>
      </w:tr>
      <w:tr w:rsidR="00C83EEA" w:rsidRPr="006E74B8" w:rsidTr="009F24E6">
        <w:tc>
          <w:tcPr>
            <w:tcW w:w="1548" w:type="dxa"/>
            <w:shd w:val="clear" w:color="auto" w:fill="auto"/>
          </w:tcPr>
          <w:p w:rsidR="00C83EEA" w:rsidRPr="006E74B8" w:rsidRDefault="00C83EEA" w:rsidP="009F24E6">
            <w:pPr>
              <w:ind w:left="-2988" w:firstLine="2988"/>
              <w:jc w:val="both"/>
            </w:pPr>
            <w:r>
              <w:t>и</w:t>
            </w:r>
            <w:r w:rsidRPr="006E74B8">
              <w:t xml:space="preserve">ные           </w:t>
            </w:r>
          </w:p>
        </w:tc>
        <w:tc>
          <w:tcPr>
            <w:tcW w:w="2393" w:type="dxa"/>
            <w:shd w:val="clear" w:color="auto" w:fill="auto"/>
          </w:tcPr>
          <w:p w:rsidR="00C83EEA" w:rsidRPr="006E74B8" w:rsidRDefault="00C83EEA" w:rsidP="009F24E6">
            <w:pPr>
              <w:ind w:left="-2988" w:firstLine="2988"/>
              <w:jc w:val="both"/>
            </w:pPr>
            <w:r w:rsidRPr="006E74B8">
              <w:t xml:space="preserve">- </w:t>
            </w:r>
            <w:r>
              <w:t xml:space="preserve">  </w:t>
            </w:r>
            <w:r w:rsidRPr="006E74B8">
              <w:t>9</w:t>
            </w:r>
          </w:p>
        </w:tc>
      </w:tr>
    </w:tbl>
    <w:p w:rsidR="00C83EEA" w:rsidRPr="006E74B8" w:rsidRDefault="00C83EEA" w:rsidP="00C83EEA">
      <w:pPr>
        <w:ind w:firstLine="720"/>
        <w:jc w:val="both"/>
      </w:pPr>
      <w:r>
        <w:t>В нарушение статьи 184.2 Бюджетного кодекса</w:t>
      </w:r>
      <w:r w:rsidRPr="006E74B8">
        <w:t xml:space="preserve"> РФ из </w:t>
      </w:r>
      <w:r w:rsidRPr="006E74B8">
        <w:rPr>
          <w:b/>
        </w:rPr>
        <w:t>60</w:t>
      </w:r>
      <w:r w:rsidRPr="006E74B8">
        <w:t xml:space="preserve"> межбюджетных трансфертов с проектом областного бюджета по </w:t>
      </w:r>
      <w:r w:rsidRPr="006E74B8">
        <w:rPr>
          <w:b/>
        </w:rPr>
        <w:t>13</w:t>
      </w:r>
      <w:r w:rsidRPr="006E74B8">
        <w:t xml:space="preserve"> межбюджетным трансфертам не представлены:</w:t>
      </w:r>
    </w:p>
    <w:p w:rsidR="00C83EEA" w:rsidRPr="006E74B8" w:rsidRDefault="00C83EEA" w:rsidP="00C83EEA">
      <w:pPr>
        <w:ind w:firstLine="720"/>
        <w:jc w:val="both"/>
      </w:pPr>
      <w:r w:rsidRPr="006E74B8">
        <w:t xml:space="preserve">методики расчетов (проекты методик) и расчеты распределения: </w:t>
      </w:r>
    </w:p>
    <w:p w:rsidR="00C83EEA" w:rsidRPr="006E74B8" w:rsidRDefault="00C83EEA" w:rsidP="00C83EEA">
      <w:pPr>
        <w:numPr>
          <w:ilvl w:val="0"/>
          <w:numId w:val="5"/>
        </w:numPr>
        <w:tabs>
          <w:tab w:val="clear" w:pos="720"/>
        </w:tabs>
        <w:ind w:left="0" w:firstLine="284"/>
        <w:jc w:val="both"/>
        <w:rPr>
          <w:bCs/>
        </w:rPr>
      </w:pPr>
      <w:r w:rsidRPr="006E74B8">
        <w:t>Дотации из  областного бюджета на поддержку мер по обеспечению сбалансир</w:t>
      </w:r>
      <w:r w:rsidRPr="006E74B8">
        <w:t>о</w:t>
      </w:r>
      <w:r w:rsidRPr="006E74B8">
        <w:t xml:space="preserve">ванности местных бюджетов  </w:t>
      </w:r>
      <w:r w:rsidRPr="004962DD">
        <w:t>(таб.4</w:t>
      </w:r>
      <w:proofErr w:type="gramStart"/>
      <w:r w:rsidRPr="004962DD">
        <w:t xml:space="preserve"> П</w:t>
      </w:r>
      <w:proofErr w:type="gramEnd"/>
      <w:r w:rsidRPr="004962DD">
        <w:t>рил.16);</w:t>
      </w:r>
    </w:p>
    <w:p w:rsidR="00C83EEA" w:rsidRPr="004962DD" w:rsidRDefault="00C83EEA" w:rsidP="00C83EEA">
      <w:pPr>
        <w:numPr>
          <w:ilvl w:val="0"/>
          <w:numId w:val="5"/>
        </w:numPr>
        <w:tabs>
          <w:tab w:val="clear" w:pos="720"/>
        </w:tabs>
        <w:ind w:left="0" w:firstLine="284"/>
        <w:jc w:val="both"/>
        <w:rPr>
          <w:bCs/>
        </w:rPr>
      </w:pPr>
      <w:r w:rsidRPr="006E74B8">
        <w:lastRenderedPageBreak/>
        <w:t xml:space="preserve">Субсидии местным бюджетам на </w:t>
      </w:r>
      <w:proofErr w:type="spellStart"/>
      <w:r w:rsidRPr="006E74B8">
        <w:t>софинансирование</w:t>
      </w:r>
      <w:proofErr w:type="spellEnd"/>
      <w:r w:rsidRPr="006E74B8">
        <w:t xml:space="preserve"> объектов капитального строительства собственности муниципальных образований в рамках долгосрочной целевой программы "Развитие физической культуры и спорта в Томской области на 2011-2013 годы" на 2013 год </w:t>
      </w:r>
      <w:r w:rsidRPr="004962DD">
        <w:t>(таб.14</w:t>
      </w:r>
      <w:proofErr w:type="gramStart"/>
      <w:r w:rsidRPr="004962DD">
        <w:t xml:space="preserve"> П</w:t>
      </w:r>
      <w:proofErr w:type="gramEnd"/>
      <w:r w:rsidRPr="004962DD">
        <w:t>рил.16);</w:t>
      </w:r>
    </w:p>
    <w:p w:rsidR="00C83EEA" w:rsidRPr="004962DD" w:rsidRDefault="00C83EEA" w:rsidP="00C83EEA">
      <w:pPr>
        <w:numPr>
          <w:ilvl w:val="0"/>
          <w:numId w:val="5"/>
        </w:numPr>
        <w:tabs>
          <w:tab w:val="clear" w:pos="720"/>
        </w:tabs>
        <w:ind w:left="0" w:firstLine="284"/>
        <w:jc w:val="both"/>
        <w:rPr>
          <w:bCs/>
        </w:rPr>
      </w:pPr>
      <w:r w:rsidRPr="006E74B8">
        <w:t xml:space="preserve">Субсидии местным бюджетам на </w:t>
      </w:r>
      <w:proofErr w:type="spellStart"/>
      <w:r w:rsidRPr="006E74B8">
        <w:t>софинансирование</w:t>
      </w:r>
      <w:proofErr w:type="spellEnd"/>
      <w:r w:rsidRPr="006E74B8">
        <w:t xml:space="preserve"> объектов капитального строительства государственной собственности субъектов Российской Федерации  (объектов капитального строительства собственности муниципальных образований) в рамках долгосрочной целевой программы "Социальное развитие села Томской области до 2015 года" на 2013 год и на плановый период 2014 и 2015 годов </w:t>
      </w:r>
      <w:r w:rsidRPr="004962DD">
        <w:t>(таб.15</w:t>
      </w:r>
      <w:proofErr w:type="gramStart"/>
      <w:r w:rsidRPr="004962DD">
        <w:t xml:space="preserve"> П</w:t>
      </w:r>
      <w:proofErr w:type="gramEnd"/>
      <w:r w:rsidRPr="004962DD">
        <w:t>рил.16);</w:t>
      </w:r>
    </w:p>
    <w:p w:rsidR="00C83EEA" w:rsidRPr="004962DD" w:rsidRDefault="00C83EEA" w:rsidP="00C83EEA">
      <w:pPr>
        <w:numPr>
          <w:ilvl w:val="0"/>
          <w:numId w:val="5"/>
        </w:numPr>
        <w:tabs>
          <w:tab w:val="clear" w:pos="720"/>
        </w:tabs>
        <w:ind w:left="0" w:firstLine="284"/>
        <w:jc w:val="both"/>
        <w:rPr>
          <w:bCs/>
        </w:rPr>
      </w:pPr>
      <w:r w:rsidRPr="006E74B8">
        <w:t xml:space="preserve">Субсидии местным бюджетам на </w:t>
      </w:r>
      <w:proofErr w:type="spellStart"/>
      <w:r w:rsidRPr="006E74B8">
        <w:t>софинансирование</w:t>
      </w:r>
      <w:proofErr w:type="spellEnd"/>
      <w:r w:rsidRPr="006E74B8">
        <w:t xml:space="preserve">  объектов капитального строительства собственности муниципальных образований в рамках долгосрочной </w:t>
      </w:r>
      <w:r>
        <w:t xml:space="preserve">целевой программы "Чистая вода </w:t>
      </w:r>
      <w:r w:rsidRPr="006E74B8">
        <w:t xml:space="preserve">Томской области" на 2012-2017 годы"  на 2013-2015 годы </w:t>
      </w:r>
      <w:r w:rsidRPr="004962DD">
        <w:t>(таб.20</w:t>
      </w:r>
      <w:proofErr w:type="gramStart"/>
      <w:r w:rsidRPr="004962DD">
        <w:t xml:space="preserve"> П</w:t>
      </w:r>
      <w:proofErr w:type="gramEnd"/>
      <w:r w:rsidRPr="004962DD">
        <w:t>рил.16);</w:t>
      </w:r>
    </w:p>
    <w:p w:rsidR="00C83EEA" w:rsidRPr="006E74B8" w:rsidRDefault="00C83EEA" w:rsidP="00C83EEA">
      <w:pPr>
        <w:ind w:left="720"/>
        <w:jc w:val="both"/>
      </w:pPr>
      <w:r w:rsidRPr="006E74B8">
        <w:t>методики расчетов (проекты методик):</w:t>
      </w:r>
    </w:p>
    <w:p w:rsidR="00C83EEA" w:rsidRPr="006E74B8" w:rsidRDefault="00C83EEA" w:rsidP="00C83EEA">
      <w:pPr>
        <w:numPr>
          <w:ilvl w:val="0"/>
          <w:numId w:val="5"/>
        </w:numPr>
        <w:jc w:val="both"/>
        <w:rPr>
          <w:bCs/>
        </w:rPr>
      </w:pPr>
      <w:r w:rsidRPr="006E74B8">
        <w:t xml:space="preserve">по </w:t>
      </w:r>
      <w:r>
        <w:t>девяти</w:t>
      </w:r>
      <w:r w:rsidRPr="006E74B8">
        <w:t xml:space="preserve"> иным межбюдже</w:t>
      </w:r>
      <w:r w:rsidRPr="006E74B8">
        <w:t>т</w:t>
      </w:r>
      <w:r w:rsidRPr="006E74B8">
        <w:t>ным трансфертам.</w:t>
      </w:r>
    </w:p>
    <w:p w:rsidR="00C83EEA" w:rsidRPr="006E74B8" w:rsidRDefault="00C83EEA" w:rsidP="00C83EEA">
      <w:pPr>
        <w:ind w:firstLine="720"/>
        <w:jc w:val="both"/>
      </w:pPr>
    </w:p>
    <w:p w:rsidR="00C83EEA" w:rsidRPr="006E74B8" w:rsidRDefault="00C83EEA" w:rsidP="00C83EEA">
      <w:pPr>
        <w:ind w:firstLine="720"/>
        <w:jc w:val="both"/>
      </w:pPr>
      <w:r w:rsidRPr="006E74B8">
        <w:t>В нарушение ст. 8</w:t>
      </w:r>
      <w:r>
        <w:t>5 Бюджетного кодекса</w:t>
      </w:r>
      <w:r w:rsidRPr="006E74B8">
        <w:t xml:space="preserve"> РФ в проект закона включены расходы, не установленные соответствующим расходными обязательствами Томской области:</w:t>
      </w:r>
    </w:p>
    <w:p w:rsidR="00C83EEA" w:rsidRPr="004962DD" w:rsidRDefault="00C83EEA" w:rsidP="00C83EEA">
      <w:pPr>
        <w:numPr>
          <w:ilvl w:val="0"/>
          <w:numId w:val="6"/>
        </w:numPr>
        <w:ind w:left="0" w:firstLine="360"/>
        <w:jc w:val="both"/>
      </w:pPr>
      <w:r w:rsidRPr="006E74B8">
        <w:t>субсидии местным бюджетам на обеспе</w:t>
      </w:r>
      <w:r>
        <w:t xml:space="preserve">чение </w:t>
      </w:r>
      <w:r w:rsidRPr="006E74B8">
        <w:t xml:space="preserve">участия спортивных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w:t>
      </w:r>
      <w:proofErr w:type="spellStart"/>
      <w:r w:rsidRPr="006E74B8">
        <w:t>г</w:t>
      </w:r>
      <w:proofErr w:type="gramStart"/>
      <w:r w:rsidRPr="006E74B8">
        <w:t>.Т</w:t>
      </w:r>
      <w:proofErr w:type="gramEnd"/>
      <w:r w:rsidRPr="006E74B8">
        <w:t>омска</w:t>
      </w:r>
      <w:proofErr w:type="spellEnd"/>
      <w:r w:rsidRPr="006E74B8">
        <w:t xml:space="preserve">, за исключением спортивных сборных команд муниципального образования «Город Томск», муниципального образования «Городской округ – закрытое административно-территориальное образование </w:t>
      </w:r>
      <w:smartTag w:uri="urn:schemas-microsoft-com:office:smarttags" w:element="PersonName">
        <w:r w:rsidRPr="006E74B8">
          <w:t>Северск</w:t>
        </w:r>
      </w:smartTag>
      <w:r w:rsidRPr="006E74B8">
        <w:t xml:space="preserve"> Томской области», муниципального образования «</w:t>
      </w:r>
      <w:smartTag w:uri="urn:schemas-microsoft-com:office:smarttags" w:element="PersonName">
        <w:r w:rsidRPr="006E74B8">
          <w:t>Томский</w:t>
        </w:r>
      </w:smartTag>
      <w:r w:rsidRPr="006E74B8">
        <w:t xml:space="preserve"> район» на 2013 год и на плановый период 2014 и 2015 </w:t>
      </w:r>
      <w:r w:rsidRPr="004962DD">
        <w:t>годов (таб.22</w:t>
      </w:r>
      <w:proofErr w:type="gramStart"/>
      <w:r w:rsidRPr="004962DD">
        <w:t xml:space="preserve"> П</w:t>
      </w:r>
      <w:proofErr w:type="gramEnd"/>
      <w:r w:rsidRPr="004962DD">
        <w:t>рил.16)</w:t>
      </w:r>
      <w:r>
        <w:t>;</w:t>
      </w:r>
    </w:p>
    <w:p w:rsidR="00C83EEA" w:rsidRPr="004962DD" w:rsidRDefault="00C83EEA" w:rsidP="00C83EEA">
      <w:pPr>
        <w:numPr>
          <w:ilvl w:val="0"/>
          <w:numId w:val="6"/>
        </w:numPr>
        <w:autoSpaceDE w:val="0"/>
        <w:autoSpaceDN w:val="0"/>
        <w:adjustRightInd w:val="0"/>
        <w:ind w:left="0" w:firstLine="360"/>
        <w:jc w:val="both"/>
        <w:outlineLvl w:val="0"/>
      </w:pPr>
      <w:r>
        <w:t>субвенции</w:t>
      </w:r>
      <w:r w:rsidRPr="006E74B8">
        <w:t xml:space="preserve"> мес</w:t>
      </w:r>
      <w:r>
        <w:t xml:space="preserve">тным бюджетам на осуществление </w:t>
      </w:r>
      <w:r w:rsidRPr="006E74B8">
        <w:t xml:space="preserve">отдельных государственных полномочий по финансовому обеспечению получения гражданами дошкольного, начального общего, основного общего, среднего (полного) общего образования  в имеющих государственную аккредитацию негосударственных общеобразовательных учреждениях  на 2013 год и на плановый период 2014 и 2015 </w:t>
      </w:r>
      <w:r w:rsidRPr="004962DD">
        <w:t>годов (таб.40</w:t>
      </w:r>
      <w:proofErr w:type="gramStart"/>
      <w:r w:rsidRPr="004962DD">
        <w:t xml:space="preserve"> П</w:t>
      </w:r>
      <w:proofErr w:type="gramEnd"/>
      <w:r w:rsidRPr="004962DD">
        <w:t>рил.16)</w:t>
      </w:r>
      <w:r>
        <w:t>.</w:t>
      </w:r>
    </w:p>
    <w:p w:rsidR="00C83EEA" w:rsidRPr="006E74B8" w:rsidRDefault="00C83EEA" w:rsidP="00C83EEA">
      <w:pPr>
        <w:ind w:left="720"/>
        <w:jc w:val="both"/>
      </w:pPr>
    </w:p>
    <w:p w:rsidR="00C83EEA" w:rsidRPr="006E74B8" w:rsidRDefault="00C83EEA" w:rsidP="00C83EEA">
      <w:pPr>
        <w:ind w:firstLine="720"/>
        <w:jc w:val="both"/>
      </w:pPr>
      <w:proofErr w:type="gramStart"/>
      <w:r>
        <w:t>В таблице 54 Приложения 16 к з</w:t>
      </w:r>
      <w:r w:rsidRPr="005B5569">
        <w:t>аконопроекту</w:t>
      </w:r>
      <w:r w:rsidRPr="006E74B8">
        <w:t xml:space="preserve"> предусмотрено предоставление местным бюджетам иных межбюджетных трансфертов на обеспечение проезда по направлениям врачей в медицинские организации, расположенные на территории Томской области, оказывающие специализированную онкологическую, наркологическую и психиатрическую помощь, лиц, проживающих в районах Крайнего Севера и приравненных к ним местностях, при отсутствии круглогодичного транспортного сообщения с областным центром</w:t>
      </w:r>
      <w:r>
        <w:t xml:space="preserve">, </w:t>
      </w:r>
      <w:r w:rsidRPr="006E74B8">
        <w:t xml:space="preserve"> на 2013 год и плановый период</w:t>
      </w:r>
      <w:proofErr w:type="gramEnd"/>
      <w:r w:rsidRPr="006E74B8">
        <w:t xml:space="preserve"> 2014 и 2015 годов.</w:t>
      </w:r>
    </w:p>
    <w:p w:rsidR="00C83EEA" w:rsidRPr="006E74B8" w:rsidRDefault="00C83EEA" w:rsidP="00C83EEA">
      <w:pPr>
        <w:ind w:firstLine="720"/>
        <w:jc w:val="both"/>
      </w:pPr>
      <w:r w:rsidRPr="006E74B8">
        <w:t xml:space="preserve">Контрольно-счетной палатой </w:t>
      </w:r>
      <w:r>
        <w:t xml:space="preserve">ранее отмечалось </w:t>
      </w:r>
      <w:r w:rsidRPr="006E74B8">
        <w:t xml:space="preserve">при рассмотрении изменений в </w:t>
      </w:r>
      <w:r>
        <w:t>з</w:t>
      </w:r>
      <w:r w:rsidRPr="006E74B8">
        <w:t>акон об областном бюджете на 2012 год,</w:t>
      </w:r>
      <w:r>
        <w:t xml:space="preserve"> что</w:t>
      </w:r>
      <w:r w:rsidRPr="006E74B8">
        <w:t xml:space="preserve"> онкологические и психиатрические заболевания относятся к социально значимым, и лицам, страдающим этими заболеваниями, должна оказываться специализированная медицинская помощь. Федеральным законом от 21.11.2011 №</w:t>
      </w:r>
      <w:r>
        <w:t xml:space="preserve"> </w:t>
      </w:r>
      <w:r w:rsidRPr="006E74B8">
        <w:t>323-ФЗ «Об основах охраны здоровья граждан в Российской Федерации» оказание специализированной медицинской помощи, обеспечения доступности медицинской помощи для граждан и установление мер социальной поддержки по организации оказания медицинской помощи лицам, страдающим социально значимыми заболеваниями</w:t>
      </w:r>
      <w:r w:rsidRPr="00123EBC">
        <w:t>, отнесено к полномочиям субъектов Российской Федерации. Однако, порядок предоставления</w:t>
      </w:r>
      <w:r w:rsidRPr="006E74B8">
        <w:t xml:space="preserve"> указанного трансферта, определенный постановлением Администрации Томской области от 10.03.2011 №</w:t>
      </w:r>
      <w:r>
        <w:t xml:space="preserve"> </w:t>
      </w:r>
      <w:r w:rsidRPr="006E74B8">
        <w:t xml:space="preserve">64а, требует от органов местного самоуправления принятия соответствующих расходных обязательств и обеспечения </w:t>
      </w:r>
      <w:proofErr w:type="spellStart"/>
      <w:r w:rsidRPr="006E74B8">
        <w:t>софинансирования</w:t>
      </w:r>
      <w:proofErr w:type="spellEnd"/>
      <w:r w:rsidRPr="006E74B8">
        <w:t xml:space="preserve"> за счет средств местного бюджета. Кроме </w:t>
      </w:r>
      <w:r w:rsidRPr="006E74B8">
        <w:lastRenderedPageBreak/>
        <w:t>того, Контрольно-счетной палатой указывалось на отсутствие методики расчета трансферта</w:t>
      </w:r>
      <w:r>
        <w:t>, утвержденной нормативными правовыми актами</w:t>
      </w:r>
      <w:r w:rsidRPr="006E74B8">
        <w:t>. К законопроекту соответствующая методика</w:t>
      </w:r>
      <w:r>
        <w:t xml:space="preserve"> (проект методики)</w:t>
      </w:r>
      <w:r w:rsidRPr="006E74B8">
        <w:t xml:space="preserve"> также не приложена.</w:t>
      </w:r>
    </w:p>
    <w:p w:rsidR="00C83EEA" w:rsidRPr="006E74B8" w:rsidRDefault="00C83EEA" w:rsidP="00C83EEA">
      <w:pPr>
        <w:ind w:firstLine="720"/>
        <w:jc w:val="both"/>
      </w:pPr>
    </w:p>
    <w:p w:rsidR="00C83EEA" w:rsidRPr="00F334AF" w:rsidRDefault="00C83EEA" w:rsidP="00C83EEA">
      <w:pPr>
        <w:jc w:val="both"/>
        <w:rPr>
          <w:b/>
        </w:rPr>
      </w:pPr>
      <w:r>
        <w:rPr>
          <w:b/>
        </w:rPr>
        <w:t>6</w:t>
      </w:r>
      <w:r w:rsidRPr="00F334AF">
        <w:rPr>
          <w:b/>
        </w:rPr>
        <w:t>.4 Характеристика Перечня объектов капитального строительства областной  государственной и муниципальной собс</w:t>
      </w:r>
      <w:r w:rsidRPr="00F334AF">
        <w:rPr>
          <w:b/>
        </w:rPr>
        <w:t>т</w:t>
      </w:r>
      <w:r w:rsidRPr="00F334AF">
        <w:rPr>
          <w:b/>
        </w:rPr>
        <w:t>венности, финанс</w:t>
      </w:r>
      <w:r>
        <w:rPr>
          <w:b/>
        </w:rPr>
        <w:t xml:space="preserve">ируемых из областного бюджета, </w:t>
      </w:r>
      <w:r w:rsidRPr="00F334AF">
        <w:rPr>
          <w:b/>
        </w:rPr>
        <w:t>на 2013 год и на плановый  период 2014 и 2015 годов приведена в Приложениях 3 и 4.</w:t>
      </w:r>
    </w:p>
    <w:p w:rsidR="00C83EEA" w:rsidRPr="00871175" w:rsidRDefault="00C83EEA" w:rsidP="00C83EEA">
      <w:pPr>
        <w:autoSpaceDE w:val="0"/>
        <w:autoSpaceDN w:val="0"/>
        <w:adjustRightInd w:val="0"/>
        <w:ind w:firstLine="540"/>
        <w:jc w:val="both"/>
        <w:outlineLvl w:val="0"/>
      </w:pPr>
    </w:p>
    <w:p w:rsidR="00C83EEA" w:rsidRDefault="00C83EEA" w:rsidP="00C83EEA">
      <w:pPr>
        <w:pStyle w:val="ConsPlusNormal"/>
        <w:widowControl/>
        <w:ind w:firstLine="0"/>
        <w:jc w:val="both"/>
        <w:rPr>
          <w:rFonts w:ascii="Times New Roman" w:hAnsi="Times New Roman" w:cs="Times New Roman"/>
          <w:iCs/>
          <w:sz w:val="24"/>
          <w:szCs w:val="24"/>
        </w:rPr>
      </w:pPr>
      <w:r>
        <w:rPr>
          <w:rFonts w:ascii="Times New Roman" w:hAnsi="Times New Roman" w:cs="Times New Roman"/>
          <w:b/>
          <w:sz w:val="24"/>
          <w:szCs w:val="24"/>
        </w:rPr>
        <w:t>7</w:t>
      </w:r>
      <w:r w:rsidRPr="00D53A0B">
        <w:rPr>
          <w:rFonts w:ascii="Times New Roman" w:hAnsi="Times New Roman" w:cs="Times New Roman"/>
          <w:b/>
          <w:sz w:val="24"/>
          <w:szCs w:val="24"/>
        </w:rPr>
        <w:t>.</w:t>
      </w:r>
      <w:r>
        <w:rPr>
          <w:i/>
        </w:rPr>
        <w:t xml:space="preserve"> </w:t>
      </w:r>
      <w:proofErr w:type="gramStart"/>
      <w:r w:rsidRPr="002C1E03">
        <w:rPr>
          <w:rFonts w:ascii="Times New Roman" w:hAnsi="Times New Roman" w:cs="Times New Roman"/>
          <w:b/>
          <w:sz w:val="24"/>
          <w:szCs w:val="24"/>
        </w:rPr>
        <w:t>Прогнозным планом (программой) приватизации государственного имущес</w:t>
      </w:r>
      <w:r w:rsidRPr="002C1E03">
        <w:rPr>
          <w:rFonts w:ascii="Times New Roman" w:hAnsi="Times New Roman" w:cs="Times New Roman"/>
          <w:b/>
          <w:sz w:val="24"/>
          <w:szCs w:val="24"/>
        </w:rPr>
        <w:t>т</w:t>
      </w:r>
      <w:r w:rsidRPr="002C1E03">
        <w:rPr>
          <w:rFonts w:ascii="Times New Roman" w:hAnsi="Times New Roman" w:cs="Times New Roman"/>
          <w:b/>
          <w:sz w:val="24"/>
          <w:szCs w:val="24"/>
        </w:rPr>
        <w:t xml:space="preserve">ва Томской области на 2013 год и на плановый период 2014 и 2015 годов </w:t>
      </w:r>
      <w:r>
        <w:rPr>
          <w:rFonts w:ascii="Times New Roman" w:hAnsi="Times New Roman" w:cs="Times New Roman"/>
          <w:sz w:val="24"/>
          <w:szCs w:val="24"/>
        </w:rPr>
        <w:t>(П</w:t>
      </w:r>
      <w:r w:rsidRPr="002C1E03">
        <w:rPr>
          <w:rFonts w:ascii="Times New Roman" w:hAnsi="Times New Roman" w:cs="Times New Roman"/>
          <w:sz w:val="24"/>
          <w:szCs w:val="24"/>
        </w:rPr>
        <w:t>рилож</w:t>
      </w:r>
      <w:r w:rsidRPr="002C1E03">
        <w:rPr>
          <w:rFonts w:ascii="Times New Roman" w:hAnsi="Times New Roman" w:cs="Times New Roman"/>
          <w:sz w:val="24"/>
          <w:szCs w:val="24"/>
        </w:rPr>
        <w:t>е</w:t>
      </w:r>
      <w:r>
        <w:rPr>
          <w:rFonts w:ascii="Times New Roman" w:hAnsi="Times New Roman" w:cs="Times New Roman"/>
          <w:sz w:val="24"/>
          <w:szCs w:val="24"/>
        </w:rPr>
        <w:t xml:space="preserve">ние </w:t>
      </w:r>
      <w:r w:rsidRPr="002C1E03">
        <w:rPr>
          <w:rFonts w:ascii="Times New Roman" w:hAnsi="Times New Roman" w:cs="Times New Roman"/>
          <w:sz w:val="24"/>
          <w:szCs w:val="24"/>
        </w:rPr>
        <w:t>11 к законопроекту) на 2013 год предусмотрена приватизация двух областных госуда</w:t>
      </w:r>
      <w:r w:rsidRPr="002C1E03">
        <w:rPr>
          <w:rFonts w:ascii="Times New Roman" w:hAnsi="Times New Roman" w:cs="Times New Roman"/>
          <w:sz w:val="24"/>
          <w:szCs w:val="24"/>
        </w:rPr>
        <w:t>р</w:t>
      </w:r>
      <w:r w:rsidRPr="002C1E03">
        <w:rPr>
          <w:rFonts w:ascii="Times New Roman" w:hAnsi="Times New Roman" w:cs="Times New Roman"/>
          <w:sz w:val="24"/>
          <w:szCs w:val="24"/>
        </w:rPr>
        <w:t>ственных унитарных предприятий дорожной отрасли (</w:t>
      </w:r>
      <w:r>
        <w:rPr>
          <w:rFonts w:ascii="Times New Roman" w:hAnsi="Times New Roman" w:cs="Times New Roman"/>
          <w:sz w:val="24"/>
          <w:szCs w:val="24"/>
        </w:rPr>
        <w:t xml:space="preserve">ОГУП </w:t>
      </w:r>
      <w:r w:rsidRPr="002C1E03">
        <w:rPr>
          <w:rFonts w:ascii="Times New Roman" w:hAnsi="Times New Roman" w:cs="Times New Roman"/>
          <w:sz w:val="24"/>
          <w:szCs w:val="24"/>
        </w:rPr>
        <w:t>«</w:t>
      </w:r>
      <w:proofErr w:type="spellStart"/>
      <w:r w:rsidRPr="002C1E03">
        <w:rPr>
          <w:rFonts w:ascii="Times New Roman" w:hAnsi="Times New Roman" w:cs="Times New Roman"/>
          <w:sz w:val="24"/>
          <w:szCs w:val="24"/>
        </w:rPr>
        <w:t>Кожевниковское</w:t>
      </w:r>
      <w:proofErr w:type="spellEnd"/>
      <w:r w:rsidRPr="002C1E03">
        <w:rPr>
          <w:rFonts w:ascii="Times New Roman" w:hAnsi="Times New Roman" w:cs="Times New Roman"/>
          <w:sz w:val="24"/>
          <w:szCs w:val="24"/>
        </w:rPr>
        <w:t xml:space="preserve"> ДРСУ» и </w:t>
      </w:r>
      <w:r>
        <w:rPr>
          <w:rFonts w:ascii="Times New Roman" w:hAnsi="Times New Roman" w:cs="Times New Roman"/>
          <w:sz w:val="24"/>
          <w:szCs w:val="24"/>
        </w:rPr>
        <w:t xml:space="preserve">ОГУП </w:t>
      </w:r>
      <w:r w:rsidRPr="002C1E03">
        <w:rPr>
          <w:rFonts w:ascii="Times New Roman" w:hAnsi="Times New Roman" w:cs="Times New Roman"/>
          <w:sz w:val="24"/>
          <w:szCs w:val="24"/>
        </w:rPr>
        <w:t>«Первомайское ДРСУ»), 6 объектов не</w:t>
      </w:r>
      <w:r>
        <w:rPr>
          <w:rFonts w:ascii="Times New Roman" w:hAnsi="Times New Roman" w:cs="Times New Roman"/>
          <w:sz w:val="24"/>
          <w:szCs w:val="24"/>
        </w:rPr>
        <w:t>движимости, 4 земельных участка</w:t>
      </w:r>
      <w:r w:rsidRPr="002C1E03">
        <w:rPr>
          <w:rFonts w:ascii="Times New Roman" w:hAnsi="Times New Roman" w:cs="Times New Roman"/>
          <w:sz w:val="24"/>
          <w:szCs w:val="24"/>
        </w:rPr>
        <w:t>, занимаемых нежилыми зданиями, а также движимого имущества, высвобождаемого областным государственным учреждением.</w:t>
      </w:r>
      <w:proofErr w:type="gramEnd"/>
      <w:r w:rsidRPr="002C1E03">
        <w:rPr>
          <w:rFonts w:ascii="Times New Roman" w:hAnsi="Times New Roman" w:cs="Times New Roman"/>
          <w:sz w:val="24"/>
          <w:szCs w:val="24"/>
        </w:rPr>
        <w:t xml:space="preserve"> Перечень движимого имущества в Прогно</w:t>
      </w:r>
      <w:r w:rsidRPr="002C1E03">
        <w:rPr>
          <w:rFonts w:ascii="Times New Roman" w:hAnsi="Times New Roman" w:cs="Times New Roman"/>
          <w:sz w:val="24"/>
          <w:szCs w:val="24"/>
        </w:rPr>
        <w:t>з</w:t>
      </w:r>
      <w:r w:rsidRPr="002C1E03">
        <w:rPr>
          <w:rFonts w:ascii="Times New Roman" w:hAnsi="Times New Roman" w:cs="Times New Roman"/>
          <w:sz w:val="24"/>
          <w:szCs w:val="24"/>
        </w:rPr>
        <w:t xml:space="preserve">ном плане не приведен - в нарушение </w:t>
      </w:r>
      <w:r>
        <w:rPr>
          <w:rFonts w:ascii="Times New Roman" w:hAnsi="Times New Roman" w:cs="Times New Roman"/>
          <w:iCs/>
          <w:sz w:val="24"/>
          <w:szCs w:val="24"/>
        </w:rPr>
        <w:t>п.1 ст.</w:t>
      </w:r>
      <w:r w:rsidRPr="002C1E03">
        <w:rPr>
          <w:rFonts w:ascii="Times New Roman" w:hAnsi="Times New Roman" w:cs="Times New Roman"/>
          <w:iCs/>
          <w:sz w:val="24"/>
          <w:szCs w:val="24"/>
        </w:rPr>
        <w:t>9 Закона Томской области «О приватизации государс</w:t>
      </w:r>
      <w:r w:rsidRPr="002C1E03">
        <w:rPr>
          <w:rFonts w:ascii="Times New Roman" w:hAnsi="Times New Roman" w:cs="Times New Roman"/>
          <w:iCs/>
          <w:sz w:val="24"/>
          <w:szCs w:val="24"/>
        </w:rPr>
        <w:t>т</w:t>
      </w:r>
      <w:r w:rsidRPr="002C1E03">
        <w:rPr>
          <w:rFonts w:ascii="Times New Roman" w:hAnsi="Times New Roman" w:cs="Times New Roman"/>
          <w:iCs/>
          <w:sz w:val="24"/>
          <w:szCs w:val="24"/>
        </w:rPr>
        <w:t xml:space="preserve">венного имущества Томской области». </w:t>
      </w:r>
    </w:p>
    <w:p w:rsidR="00C83EEA" w:rsidRDefault="00C83EEA" w:rsidP="00C83EEA">
      <w:pPr>
        <w:pStyle w:val="ConsPlusNormal"/>
        <w:widowControl/>
        <w:jc w:val="both"/>
        <w:rPr>
          <w:rFonts w:ascii="Times New Roman" w:hAnsi="Times New Roman" w:cs="Times New Roman"/>
          <w:sz w:val="24"/>
          <w:szCs w:val="24"/>
        </w:rPr>
      </w:pPr>
      <w:r>
        <w:rPr>
          <w:rFonts w:ascii="Times New Roman" w:hAnsi="Times New Roman" w:cs="Times New Roman"/>
          <w:iCs/>
          <w:sz w:val="24"/>
          <w:szCs w:val="24"/>
        </w:rPr>
        <w:t xml:space="preserve">Указанное движимое </w:t>
      </w:r>
      <w:r w:rsidRPr="002C1E03">
        <w:rPr>
          <w:rFonts w:ascii="Times New Roman" w:hAnsi="Times New Roman" w:cs="Times New Roman"/>
          <w:iCs/>
          <w:sz w:val="24"/>
          <w:szCs w:val="24"/>
        </w:rPr>
        <w:t xml:space="preserve"> имущество </w:t>
      </w:r>
      <w:r w:rsidRPr="002C1E03">
        <w:rPr>
          <w:rFonts w:ascii="Times New Roman" w:hAnsi="Times New Roman" w:cs="Times New Roman"/>
          <w:sz w:val="24"/>
          <w:szCs w:val="24"/>
        </w:rPr>
        <w:t xml:space="preserve">высвобождается Областным </w:t>
      </w:r>
      <w:r>
        <w:rPr>
          <w:rFonts w:ascii="Times New Roman" w:hAnsi="Times New Roman" w:cs="Times New Roman"/>
          <w:sz w:val="24"/>
          <w:szCs w:val="24"/>
        </w:rPr>
        <w:t xml:space="preserve">государственным бюджетным </w:t>
      </w:r>
      <w:r w:rsidRPr="002C1E03">
        <w:rPr>
          <w:rFonts w:ascii="Times New Roman" w:hAnsi="Times New Roman" w:cs="Times New Roman"/>
          <w:sz w:val="24"/>
          <w:szCs w:val="24"/>
        </w:rPr>
        <w:t>учреждением здравоохранения «Санаторий «</w:t>
      </w:r>
      <w:proofErr w:type="spellStart"/>
      <w:r w:rsidRPr="002C1E03">
        <w:rPr>
          <w:rFonts w:ascii="Times New Roman" w:hAnsi="Times New Roman" w:cs="Times New Roman"/>
          <w:sz w:val="24"/>
          <w:szCs w:val="24"/>
        </w:rPr>
        <w:t>Чажемто</w:t>
      </w:r>
      <w:proofErr w:type="spellEnd"/>
      <w:r w:rsidRPr="002C1E03">
        <w:rPr>
          <w:rFonts w:ascii="Times New Roman" w:hAnsi="Times New Roman" w:cs="Times New Roman"/>
          <w:sz w:val="24"/>
          <w:szCs w:val="24"/>
        </w:rPr>
        <w:t>» и состоит из сл</w:t>
      </w:r>
      <w:r w:rsidRPr="002C1E03">
        <w:rPr>
          <w:rFonts w:ascii="Times New Roman" w:hAnsi="Times New Roman" w:cs="Times New Roman"/>
          <w:sz w:val="24"/>
          <w:szCs w:val="24"/>
        </w:rPr>
        <w:t>е</w:t>
      </w:r>
      <w:r w:rsidRPr="002C1E03">
        <w:rPr>
          <w:rFonts w:ascii="Times New Roman" w:hAnsi="Times New Roman" w:cs="Times New Roman"/>
          <w:sz w:val="24"/>
          <w:szCs w:val="24"/>
        </w:rPr>
        <w:t xml:space="preserve">дующих объектов: камера холодильная с моноблоком (реестровый номер 07018002000072), автомобиль легковой </w:t>
      </w:r>
      <w:r w:rsidRPr="002C1E03">
        <w:rPr>
          <w:rFonts w:ascii="Times New Roman" w:hAnsi="Times New Roman" w:cs="Times New Roman"/>
          <w:sz w:val="24"/>
          <w:szCs w:val="24"/>
          <w:lang w:val="en-US"/>
        </w:rPr>
        <w:t>Daewoo</w:t>
      </w:r>
      <w:r w:rsidRPr="002C1E03">
        <w:rPr>
          <w:rFonts w:ascii="Times New Roman" w:hAnsi="Times New Roman" w:cs="Times New Roman"/>
          <w:sz w:val="24"/>
          <w:szCs w:val="24"/>
        </w:rPr>
        <w:t xml:space="preserve"> </w:t>
      </w:r>
      <w:proofErr w:type="spellStart"/>
      <w:r w:rsidRPr="002C1E03">
        <w:rPr>
          <w:rFonts w:ascii="Times New Roman" w:hAnsi="Times New Roman" w:cs="Times New Roman"/>
          <w:sz w:val="24"/>
          <w:szCs w:val="24"/>
          <w:lang w:val="en-US"/>
        </w:rPr>
        <w:t>Nexia</w:t>
      </w:r>
      <w:proofErr w:type="spellEnd"/>
      <w:r w:rsidRPr="002C1E03">
        <w:rPr>
          <w:rFonts w:ascii="Times New Roman" w:hAnsi="Times New Roman" w:cs="Times New Roman"/>
          <w:sz w:val="24"/>
          <w:szCs w:val="24"/>
        </w:rPr>
        <w:t xml:space="preserve"> </w:t>
      </w:r>
      <w:r w:rsidRPr="002C1E03">
        <w:rPr>
          <w:rFonts w:ascii="Times New Roman" w:hAnsi="Times New Roman" w:cs="Times New Roman"/>
          <w:sz w:val="24"/>
          <w:szCs w:val="24"/>
          <w:lang w:val="en-US"/>
        </w:rPr>
        <w:t>GL</w:t>
      </w:r>
      <w:r w:rsidRPr="002C1E03">
        <w:rPr>
          <w:rFonts w:ascii="Times New Roman" w:hAnsi="Times New Roman" w:cs="Times New Roman"/>
          <w:sz w:val="24"/>
          <w:szCs w:val="24"/>
        </w:rPr>
        <w:t xml:space="preserve"> </w:t>
      </w:r>
      <w:r>
        <w:rPr>
          <w:rFonts w:ascii="Times New Roman" w:hAnsi="Times New Roman" w:cs="Times New Roman"/>
          <w:sz w:val="24"/>
          <w:szCs w:val="24"/>
        </w:rPr>
        <w:t>(</w:t>
      </w:r>
      <w:r w:rsidRPr="002C1E03">
        <w:rPr>
          <w:rFonts w:ascii="Times New Roman" w:hAnsi="Times New Roman" w:cs="Times New Roman"/>
          <w:sz w:val="24"/>
          <w:szCs w:val="24"/>
        </w:rPr>
        <w:t>700701800200007</w:t>
      </w:r>
      <w:r>
        <w:rPr>
          <w:rFonts w:ascii="Times New Roman" w:hAnsi="Times New Roman" w:cs="Times New Roman"/>
          <w:sz w:val="24"/>
          <w:szCs w:val="24"/>
        </w:rPr>
        <w:t>6)</w:t>
      </w:r>
      <w:r w:rsidRPr="002C1E03">
        <w:rPr>
          <w:rFonts w:ascii="Times New Roman" w:hAnsi="Times New Roman" w:cs="Times New Roman"/>
          <w:sz w:val="24"/>
          <w:szCs w:val="24"/>
        </w:rPr>
        <w:t>, автом</w:t>
      </w:r>
      <w:r w:rsidRPr="002C1E03">
        <w:rPr>
          <w:rFonts w:ascii="Times New Roman" w:hAnsi="Times New Roman" w:cs="Times New Roman"/>
          <w:sz w:val="24"/>
          <w:szCs w:val="24"/>
        </w:rPr>
        <w:t>о</w:t>
      </w:r>
      <w:r w:rsidRPr="002C1E03">
        <w:rPr>
          <w:rFonts w:ascii="Times New Roman" w:hAnsi="Times New Roman" w:cs="Times New Roman"/>
          <w:sz w:val="24"/>
          <w:szCs w:val="24"/>
        </w:rPr>
        <w:t xml:space="preserve">биль грузовой ГАЗ 3302 </w:t>
      </w:r>
      <w:r>
        <w:rPr>
          <w:rFonts w:ascii="Times New Roman" w:hAnsi="Times New Roman" w:cs="Times New Roman"/>
          <w:sz w:val="24"/>
          <w:szCs w:val="24"/>
        </w:rPr>
        <w:t>(</w:t>
      </w:r>
      <w:r w:rsidRPr="002C1E03">
        <w:rPr>
          <w:rFonts w:ascii="Times New Roman" w:hAnsi="Times New Roman" w:cs="Times New Roman"/>
          <w:sz w:val="24"/>
          <w:szCs w:val="24"/>
        </w:rPr>
        <w:t>700701800200007</w:t>
      </w:r>
      <w:r>
        <w:rPr>
          <w:rFonts w:ascii="Times New Roman" w:hAnsi="Times New Roman" w:cs="Times New Roman"/>
          <w:sz w:val="24"/>
          <w:szCs w:val="24"/>
        </w:rPr>
        <w:t xml:space="preserve">7) </w:t>
      </w:r>
      <w:r w:rsidRPr="002C1E03">
        <w:rPr>
          <w:rFonts w:ascii="Times New Roman" w:hAnsi="Times New Roman" w:cs="Times New Roman"/>
          <w:sz w:val="24"/>
          <w:szCs w:val="24"/>
        </w:rPr>
        <w:t>и трактор МТЗ</w:t>
      </w:r>
      <w:r>
        <w:rPr>
          <w:rFonts w:ascii="Times New Roman" w:hAnsi="Times New Roman" w:cs="Times New Roman"/>
          <w:sz w:val="24"/>
          <w:szCs w:val="24"/>
        </w:rPr>
        <w:t xml:space="preserve"> (</w:t>
      </w:r>
      <w:r w:rsidRPr="002C1E03">
        <w:rPr>
          <w:rFonts w:ascii="Times New Roman" w:hAnsi="Times New Roman" w:cs="Times New Roman"/>
          <w:sz w:val="24"/>
          <w:szCs w:val="24"/>
        </w:rPr>
        <w:t>700701800200007</w:t>
      </w:r>
      <w:r>
        <w:rPr>
          <w:rFonts w:ascii="Times New Roman" w:hAnsi="Times New Roman" w:cs="Times New Roman"/>
          <w:sz w:val="24"/>
          <w:szCs w:val="24"/>
        </w:rPr>
        <w:t>9)</w:t>
      </w:r>
      <w:r w:rsidRPr="002C1E03">
        <w:rPr>
          <w:rFonts w:ascii="Times New Roman" w:hAnsi="Times New Roman" w:cs="Times New Roman"/>
          <w:sz w:val="24"/>
          <w:szCs w:val="24"/>
        </w:rPr>
        <w:t xml:space="preserve">. </w:t>
      </w:r>
    </w:p>
    <w:p w:rsidR="00C83EEA" w:rsidRDefault="00C83EEA" w:rsidP="00C83EEA">
      <w:pPr>
        <w:pStyle w:val="ConsPlusNormal"/>
        <w:widowControl/>
        <w:jc w:val="both"/>
        <w:rPr>
          <w:rFonts w:ascii="Times New Roman" w:hAnsi="Times New Roman" w:cs="Times New Roman"/>
          <w:sz w:val="24"/>
          <w:szCs w:val="24"/>
        </w:rPr>
      </w:pPr>
      <w:r w:rsidRPr="002C1E03">
        <w:rPr>
          <w:rFonts w:ascii="Times New Roman" w:hAnsi="Times New Roman" w:cs="Times New Roman"/>
          <w:sz w:val="24"/>
          <w:szCs w:val="24"/>
        </w:rPr>
        <w:t>Планируемы</w:t>
      </w:r>
      <w:r>
        <w:rPr>
          <w:rFonts w:ascii="Times New Roman" w:hAnsi="Times New Roman" w:cs="Times New Roman"/>
          <w:sz w:val="24"/>
          <w:szCs w:val="24"/>
        </w:rPr>
        <w:t>й</w:t>
      </w:r>
      <w:r w:rsidRPr="002C1E03">
        <w:rPr>
          <w:rFonts w:ascii="Times New Roman" w:hAnsi="Times New Roman" w:cs="Times New Roman"/>
          <w:sz w:val="24"/>
          <w:szCs w:val="24"/>
        </w:rPr>
        <w:t xml:space="preserve"> доход</w:t>
      </w:r>
      <w:r>
        <w:rPr>
          <w:rFonts w:ascii="Times New Roman" w:hAnsi="Times New Roman" w:cs="Times New Roman"/>
          <w:sz w:val="24"/>
          <w:szCs w:val="24"/>
        </w:rPr>
        <w:t xml:space="preserve"> в областной бюджет</w:t>
      </w:r>
      <w:r w:rsidRPr="002C1E03">
        <w:rPr>
          <w:rFonts w:ascii="Times New Roman" w:hAnsi="Times New Roman" w:cs="Times New Roman"/>
          <w:sz w:val="24"/>
          <w:szCs w:val="24"/>
        </w:rPr>
        <w:t xml:space="preserve"> от приватизации </w:t>
      </w:r>
      <w:r>
        <w:rPr>
          <w:rFonts w:ascii="Times New Roman" w:hAnsi="Times New Roman" w:cs="Times New Roman"/>
          <w:sz w:val="24"/>
          <w:szCs w:val="24"/>
        </w:rPr>
        <w:t>областного государс</w:t>
      </w:r>
      <w:r>
        <w:rPr>
          <w:rFonts w:ascii="Times New Roman" w:hAnsi="Times New Roman" w:cs="Times New Roman"/>
          <w:sz w:val="24"/>
          <w:szCs w:val="24"/>
        </w:rPr>
        <w:t>т</w:t>
      </w:r>
      <w:r>
        <w:rPr>
          <w:rFonts w:ascii="Times New Roman" w:hAnsi="Times New Roman" w:cs="Times New Roman"/>
          <w:sz w:val="24"/>
          <w:szCs w:val="24"/>
        </w:rPr>
        <w:t xml:space="preserve">венного имущества на 2013 год в общей сумме 9 534 </w:t>
      </w:r>
      <w:proofErr w:type="spellStart"/>
      <w:r>
        <w:rPr>
          <w:rFonts w:ascii="Times New Roman" w:hAnsi="Times New Roman" w:cs="Times New Roman"/>
          <w:sz w:val="24"/>
          <w:szCs w:val="24"/>
        </w:rPr>
        <w:t>тыс</w:t>
      </w:r>
      <w:proofErr w:type="gramStart"/>
      <w:r>
        <w:rPr>
          <w:rFonts w:ascii="Times New Roman" w:hAnsi="Times New Roman" w:cs="Times New Roman"/>
          <w:sz w:val="24"/>
          <w:szCs w:val="24"/>
        </w:rPr>
        <w:t>.</w:t>
      </w:r>
      <w:r w:rsidRPr="002C1E03">
        <w:rPr>
          <w:rFonts w:ascii="Times New Roman" w:hAnsi="Times New Roman" w:cs="Times New Roman"/>
          <w:sz w:val="24"/>
          <w:szCs w:val="24"/>
        </w:rPr>
        <w:t>р</w:t>
      </w:r>
      <w:proofErr w:type="gramEnd"/>
      <w:r w:rsidRPr="002C1E03">
        <w:rPr>
          <w:rFonts w:ascii="Times New Roman" w:hAnsi="Times New Roman" w:cs="Times New Roman"/>
          <w:sz w:val="24"/>
          <w:szCs w:val="24"/>
        </w:rPr>
        <w:t>уб</w:t>
      </w:r>
      <w:proofErr w:type="spellEnd"/>
      <w:r w:rsidRPr="002C1E03">
        <w:rPr>
          <w:rFonts w:ascii="Times New Roman" w:hAnsi="Times New Roman" w:cs="Times New Roman"/>
          <w:sz w:val="24"/>
          <w:szCs w:val="24"/>
        </w:rPr>
        <w:t xml:space="preserve">. </w:t>
      </w:r>
      <w:r>
        <w:rPr>
          <w:rFonts w:ascii="Times New Roman" w:hAnsi="Times New Roman" w:cs="Times New Roman"/>
          <w:sz w:val="24"/>
          <w:szCs w:val="24"/>
        </w:rPr>
        <w:t>определен на основании отчетов об оценке рыночной стоимости (исходя из Правил формирования прогнозного плана приватизации государственного имущества Томской области, установленных Д</w:t>
      </w:r>
      <w:r>
        <w:rPr>
          <w:rFonts w:ascii="Times New Roman" w:hAnsi="Times New Roman" w:cs="Times New Roman"/>
          <w:sz w:val="24"/>
          <w:szCs w:val="24"/>
        </w:rPr>
        <w:t>е</w:t>
      </w:r>
      <w:r>
        <w:rPr>
          <w:rFonts w:ascii="Times New Roman" w:hAnsi="Times New Roman" w:cs="Times New Roman"/>
          <w:sz w:val="24"/>
          <w:szCs w:val="24"/>
        </w:rPr>
        <w:t xml:space="preserve">партаментом по управлению государственной собственностью Томской области) трех объектов недвижимости </w:t>
      </w:r>
      <w:r w:rsidRPr="00DC4487">
        <w:rPr>
          <w:rFonts w:ascii="Times New Roman" w:hAnsi="Times New Roman" w:cs="Times New Roman"/>
          <w:sz w:val="24"/>
          <w:szCs w:val="24"/>
        </w:rPr>
        <w:t>по состоянию на</w:t>
      </w:r>
      <w:r>
        <w:rPr>
          <w:rFonts w:ascii="Times New Roman" w:hAnsi="Times New Roman" w:cs="Times New Roman"/>
          <w:sz w:val="24"/>
          <w:szCs w:val="24"/>
        </w:rPr>
        <w:t xml:space="preserve"> 29.11.2010 и 06.06.2011 (нежилое здание по а</w:t>
      </w:r>
      <w:r>
        <w:rPr>
          <w:rFonts w:ascii="Times New Roman" w:hAnsi="Times New Roman" w:cs="Times New Roman"/>
          <w:sz w:val="24"/>
          <w:szCs w:val="24"/>
        </w:rPr>
        <w:t>д</w:t>
      </w:r>
      <w:r>
        <w:rPr>
          <w:rFonts w:ascii="Times New Roman" w:hAnsi="Times New Roman" w:cs="Times New Roman"/>
          <w:sz w:val="24"/>
          <w:szCs w:val="24"/>
        </w:rPr>
        <w:t xml:space="preserve">ресу: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.Т</w:t>
      </w:r>
      <w:proofErr w:type="gramEnd"/>
      <w:r>
        <w:rPr>
          <w:rFonts w:ascii="Times New Roman" w:hAnsi="Times New Roman" w:cs="Times New Roman"/>
          <w:sz w:val="24"/>
          <w:szCs w:val="24"/>
        </w:rPr>
        <w:t>омск</w:t>
      </w:r>
      <w:proofErr w:type="spellEnd"/>
      <w:r>
        <w:rPr>
          <w:rFonts w:ascii="Times New Roman" w:hAnsi="Times New Roman" w:cs="Times New Roman"/>
          <w:sz w:val="24"/>
          <w:szCs w:val="24"/>
        </w:rPr>
        <w:t>, ул.Крылова,5) и на 27.01.2012 (нежилые здания, расположенные на пер</w:t>
      </w:r>
      <w:r>
        <w:rPr>
          <w:rFonts w:ascii="Times New Roman" w:hAnsi="Times New Roman" w:cs="Times New Roman"/>
          <w:sz w:val="24"/>
          <w:szCs w:val="24"/>
        </w:rPr>
        <w:t>е</w:t>
      </w:r>
      <w:r>
        <w:rPr>
          <w:rFonts w:ascii="Times New Roman" w:hAnsi="Times New Roman" w:cs="Times New Roman"/>
          <w:sz w:val="24"/>
          <w:szCs w:val="24"/>
        </w:rPr>
        <w:t>крестке автодорог Мельниково-</w:t>
      </w:r>
      <w:proofErr w:type="spellStart"/>
      <w:r>
        <w:rPr>
          <w:rFonts w:ascii="Times New Roman" w:hAnsi="Times New Roman" w:cs="Times New Roman"/>
          <w:sz w:val="24"/>
          <w:szCs w:val="24"/>
        </w:rPr>
        <w:t>Трубачево</w:t>
      </w:r>
      <w:proofErr w:type="spellEnd"/>
      <w:r>
        <w:rPr>
          <w:rFonts w:ascii="Times New Roman" w:hAnsi="Times New Roman" w:cs="Times New Roman"/>
          <w:sz w:val="24"/>
          <w:szCs w:val="24"/>
        </w:rPr>
        <w:t>-Колпашево). Оценка рыночной стоимости о</w:t>
      </w:r>
      <w:r>
        <w:rPr>
          <w:rFonts w:ascii="Times New Roman" w:hAnsi="Times New Roman" w:cs="Times New Roman"/>
          <w:sz w:val="24"/>
          <w:szCs w:val="24"/>
        </w:rPr>
        <w:t>с</w:t>
      </w:r>
      <w:r>
        <w:rPr>
          <w:rFonts w:ascii="Times New Roman" w:hAnsi="Times New Roman" w:cs="Times New Roman"/>
          <w:sz w:val="24"/>
          <w:szCs w:val="24"/>
        </w:rPr>
        <w:t xml:space="preserve">тальных объектов недвижимости, включенных в Прогнозный план, а также земельных участков и движимого имущества на момент подготовки законопроекта не производилась, в связи с этим планируемые доходы от их приватизации не определены. </w:t>
      </w:r>
    </w:p>
    <w:p w:rsidR="00C83EEA" w:rsidRPr="002C1E03" w:rsidRDefault="00C83EEA" w:rsidP="00C83EEA">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 xml:space="preserve">В целях </w:t>
      </w:r>
      <w:proofErr w:type="gramStart"/>
      <w:r>
        <w:rPr>
          <w:rFonts w:ascii="Times New Roman" w:hAnsi="Times New Roman" w:cs="Times New Roman"/>
          <w:sz w:val="24"/>
          <w:szCs w:val="24"/>
        </w:rPr>
        <w:t>соблюдения принципа полноты отражения планируемых доходов</w:t>
      </w:r>
      <w:proofErr w:type="gramEnd"/>
      <w:r>
        <w:rPr>
          <w:rFonts w:ascii="Times New Roman" w:hAnsi="Times New Roman" w:cs="Times New Roman"/>
          <w:sz w:val="24"/>
          <w:szCs w:val="24"/>
        </w:rPr>
        <w:t xml:space="preserve"> </w:t>
      </w:r>
      <w:r w:rsidRPr="008E0C5C">
        <w:rPr>
          <w:rFonts w:ascii="Times New Roman" w:hAnsi="Times New Roman" w:cs="Times New Roman"/>
          <w:sz w:val="24"/>
          <w:szCs w:val="24"/>
        </w:rPr>
        <w:t>полагаем необходимым</w:t>
      </w:r>
      <w:r w:rsidRPr="00DC4487">
        <w:rPr>
          <w:rFonts w:ascii="Times New Roman" w:hAnsi="Times New Roman" w:cs="Times New Roman"/>
          <w:b/>
          <w:sz w:val="24"/>
          <w:szCs w:val="24"/>
        </w:rPr>
        <w:t xml:space="preserve"> произвести корректировку доходов от приватизации областного имущества в сторону увеличения (исходя из оценки прогнозируемой стоимости намеченных к приватизации объектов, а также предполагаемых способов их приватиз</w:t>
      </w:r>
      <w:r w:rsidRPr="00DC4487">
        <w:rPr>
          <w:rFonts w:ascii="Times New Roman" w:hAnsi="Times New Roman" w:cs="Times New Roman"/>
          <w:b/>
          <w:sz w:val="24"/>
          <w:szCs w:val="24"/>
        </w:rPr>
        <w:t>а</w:t>
      </w:r>
      <w:r w:rsidRPr="00DC4487">
        <w:rPr>
          <w:rFonts w:ascii="Times New Roman" w:hAnsi="Times New Roman" w:cs="Times New Roman"/>
          <w:b/>
          <w:sz w:val="24"/>
          <w:szCs w:val="24"/>
        </w:rPr>
        <w:t>ции)</w:t>
      </w:r>
      <w:r>
        <w:rPr>
          <w:rFonts w:ascii="Times New Roman" w:hAnsi="Times New Roman" w:cs="Times New Roman"/>
          <w:sz w:val="24"/>
          <w:szCs w:val="24"/>
        </w:rPr>
        <w:t>.</w:t>
      </w:r>
      <w:r w:rsidRPr="002C1E03">
        <w:rPr>
          <w:rFonts w:ascii="Times New Roman" w:hAnsi="Times New Roman" w:cs="Times New Roman"/>
          <w:sz w:val="24"/>
          <w:szCs w:val="24"/>
        </w:rPr>
        <w:t xml:space="preserve"> </w:t>
      </w:r>
    </w:p>
    <w:p w:rsidR="00C83EEA" w:rsidRPr="00D12EFC" w:rsidRDefault="00C83EEA" w:rsidP="00C83EEA">
      <w:pPr>
        <w:pStyle w:val="ConsPlusNormal"/>
        <w:widowControl/>
        <w:jc w:val="both"/>
        <w:rPr>
          <w:rFonts w:ascii="Times New Roman" w:hAnsi="Times New Roman" w:cs="Times New Roman"/>
          <w:sz w:val="24"/>
          <w:szCs w:val="24"/>
        </w:rPr>
      </w:pPr>
      <w:proofErr w:type="gramStart"/>
      <w:r>
        <w:rPr>
          <w:rFonts w:ascii="Times New Roman" w:hAnsi="Times New Roman" w:cs="Times New Roman"/>
          <w:sz w:val="24"/>
          <w:szCs w:val="24"/>
        </w:rPr>
        <w:t xml:space="preserve">Кроме того, обращаем внимание, что </w:t>
      </w:r>
      <w:r w:rsidRPr="00CE10C2">
        <w:rPr>
          <w:rFonts w:ascii="Times New Roman" w:hAnsi="Times New Roman" w:cs="Times New Roman"/>
          <w:sz w:val="24"/>
          <w:szCs w:val="24"/>
        </w:rPr>
        <w:t xml:space="preserve">Прогнозный план (программа) приватизации государственного имущества Томской области на 2013 год и на плановый период 2014 и 2015 годов не содержит находящихся в областной собственности акций </w:t>
      </w:r>
      <w:r>
        <w:rPr>
          <w:rFonts w:ascii="Times New Roman" w:hAnsi="Times New Roman" w:cs="Times New Roman"/>
          <w:sz w:val="24"/>
          <w:szCs w:val="24"/>
        </w:rPr>
        <w:t xml:space="preserve">открытых </w:t>
      </w:r>
      <w:r w:rsidRPr="00CE10C2">
        <w:rPr>
          <w:rFonts w:ascii="Times New Roman" w:hAnsi="Times New Roman" w:cs="Times New Roman"/>
          <w:sz w:val="24"/>
          <w:szCs w:val="24"/>
        </w:rPr>
        <w:t>акци</w:t>
      </w:r>
      <w:r w:rsidRPr="00CE10C2">
        <w:rPr>
          <w:rFonts w:ascii="Times New Roman" w:hAnsi="Times New Roman" w:cs="Times New Roman"/>
          <w:sz w:val="24"/>
          <w:szCs w:val="24"/>
        </w:rPr>
        <w:t>о</w:t>
      </w:r>
      <w:r w:rsidRPr="00CE10C2">
        <w:rPr>
          <w:rFonts w:ascii="Times New Roman" w:hAnsi="Times New Roman" w:cs="Times New Roman"/>
          <w:sz w:val="24"/>
          <w:szCs w:val="24"/>
        </w:rPr>
        <w:t>нерных обществ</w:t>
      </w:r>
      <w:r>
        <w:rPr>
          <w:rFonts w:ascii="Times New Roman" w:hAnsi="Times New Roman" w:cs="Times New Roman"/>
          <w:sz w:val="24"/>
          <w:szCs w:val="24"/>
        </w:rPr>
        <w:t xml:space="preserve"> (долей в уставных капиталах обществ)</w:t>
      </w:r>
      <w:r w:rsidRPr="00CE10C2">
        <w:rPr>
          <w:rFonts w:ascii="Times New Roman" w:hAnsi="Times New Roman" w:cs="Times New Roman"/>
          <w:sz w:val="24"/>
          <w:szCs w:val="24"/>
        </w:rPr>
        <w:t xml:space="preserve"> в отраслях с конкурентной средой, а также </w:t>
      </w:r>
      <w:r>
        <w:rPr>
          <w:rFonts w:ascii="Times New Roman" w:hAnsi="Times New Roman" w:cs="Times New Roman"/>
          <w:sz w:val="24"/>
          <w:szCs w:val="24"/>
        </w:rPr>
        <w:t xml:space="preserve">полного перечня </w:t>
      </w:r>
      <w:r w:rsidRPr="00CE10C2">
        <w:rPr>
          <w:rFonts w:ascii="Times New Roman" w:hAnsi="Times New Roman" w:cs="Times New Roman"/>
          <w:sz w:val="24"/>
          <w:szCs w:val="24"/>
        </w:rPr>
        <w:t>объектов имущества</w:t>
      </w:r>
      <w:r w:rsidRPr="00A74D6A">
        <w:rPr>
          <w:rFonts w:ascii="Times New Roman" w:hAnsi="Times New Roman" w:cs="Times New Roman"/>
          <w:sz w:val="24"/>
          <w:szCs w:val="24"/>
        </w:rPr>
        <w:t xml:space="preserve">, </w:t>
      </w:r>
      <w:r>
        <w:rPr>
          <w:rFonts w:ascii="Times New Roman" w:hAnsi="Times New Roman" w:cs="Times New Roman"/>
          <w:sz w:val="24"/>
          <w:szCs w:val="24"/>
        </w:rPr>
        <w:t>не задействованных в обеспечении выпо</w:t>
      </w:r>
      <w:r>
        <w:rPr>
          <w:rFonts w:ascii="Times New Roman" w:hAnsi="Times New Roman" w:cs="Times New Roman"/>
          <w:sz w:val="24"/>
          <w:szCs w:val="24"/>
        </w:rPr>
        <w:t>л</w:t>
      </w:r>
      <w:r>
        <w:rPr>
          <w:rFonts w:ascii="Times New Roman" w:hAnsi="Times New Roman" w:cs="Times New Roman"/>
          <w:sz w:val="24"/>
          <w:szCs w:val="24"/>
        </w:rPr>
        <w:t>нения государственных функций и полномочий органов</w:t>
      </w:r>
      <w:proofErr w:type="gramEnd"/>
      <w:r>
        <w:rPr>
          <w:rFonts w:ascii="Times New Roman" w:hAnsi="Times New Roman" w:cs="Times New Roman"/>
          <w:sz w:val="24"/>
          <w:szCs w:val="24"/>
        </w:rPr>
        <w:t xml:space="preserve"> государственной власти субъекта РФ (исходя из к</w:t>
      </w:r>
      <w:r w:rsidRPr="009C42F1">
        <w:rPr>
          <w:rFonts w:ascii="Times New Roman" w:hAnsi="Times New Roman" w:cs="Times New Roman"/>
          <w:sz w:val="24"/>
          <w:szCs w:val="24"/>
        </w:rPr>
        <w:t>онкретных результатов анализ</w:t>
      </w:r>
      <w:r>
        <w:rPr>
          <w:rFonts w:ascii="Times New Roman" w:hAnsi="Times New Roman" w:cs="Times New Roman"/>
          <w:sz w:val="24"/>
          <w:szCs w:val="24"/>
        </w:rPr>
        <w:t>а</w:t>
      </w:r>
      <w:r w:rsidRPr="009C42F1">
        <w:rPr>
          <w:rFonts w:ascii="Times New Roman" w:hAnsi="Times New Roman" w:cs="Times New Roman"/>
          <w:sz w:val="24"/>
          <w:szCs w:val="24"/>
        </w:rPr>
        <w:t xml:space="preserve"> имущества Казны Томской области</w:t>
      </w:r>
      <w:r>
        <w:rPr>
          <w:rFonts w:ascii="Times New Roman" w:hAnsi="Times New Roman" w:cs="Times New Roman"/>
          <w:sz w:val="24"/>
          <w:szCs w:val="24"/>
        </w:rPr>
        <w:t xml:space="preserve"> и действенных шагов, направленных на скорейшее оформление </w:t>
      </w:r>
      <w:r w:rsidRPr="00533AC5">
        <w:rPr>
          <w:rFonts w:ascii="Times New Roman" w:hAnsi="Times New Roman" w:cs="Times New Roman"/>
          <w:sz w:val="24"/>
          <w:szCs w:val="24"/>
        </w:rPr>
        <w:t>правовы</w:t>
      </w:r>
      <w:r>
        <w:rPr>
          <w:rFonts w:ascii="Times New Roman" w:hAnsi="Times New Roman" w:cs="Times New Roman"/>
          <w:sz w:val="24"/>
          <w:szCs w:val="24"/>
        </w:rPr>
        <w:t>х</w:t>
      </w:r>
      <w:r w:rsidRPr="00533AC5">
        <w:rPr>
          <w:rFonts w:ascii="Times New Roman" w:hAnsi="Times New Roman" w:cs="Times New Roman"/>
          <w:sz w:val="24"/>
          <w:szCs w:val="24"/>
        </w:rPr>
        <w:t xml:space="preserve"> основани</w:t>
      </w:r>
      <w:r>
        <w:rPr>
          <w:rFonts w:ascii="Times New Roman" w:hAnsi="Times New Roman" w:cs="Times New Roman"/>
          <w:sz w:val="24"/>
          <w:szCs w:val="24"/>
        </w:rPr>
        <w:t>й</w:t>
      </w:r>
      <w:r w:rsidRPr="00533AC5">
        <w:rPr>
          <w:rFonts w:ascii="Times New Roman" w:hAnsi="Times New Roman" w:cs="Times New Roman"/>
          <w:sz w:val="24"/>
          <w:szCs w:val="24"/>
        </w:rPr>
        <w:t xml:space="preserve"> для отч</w:t>
      </w:r>
      <w:r w:rsidRPr="00533AC5">
        <w:rPr>
          <w:rFonts w:ascii="Times New Roman" w:hAnsi="Times New Roman" w:cs="Times New Roman"/>
          <w:sz w:val="24"/>
          <w:szCs w:val="24"/>
        </w:rPr>
        <w:t>у</w:t>
      </w:r>
      <w:r w:rsidRPr="00533AC5">
        <w:rPr>
          <w:rFonts w:ascii="Times New Roman" w:hAnsi="Times New Roman" w:cs="Times New Roman"/>
          <w:sz w:val="24"/>
          <w:szCs w:val="24"/>
        </w:rPr>
        <w:t xml:space="preserve">ждения </w:t>
      </w:r>
      <w:r w:rsidRPr="003070E9">
        <w:rPr>
          <w:rFonts w:ascii="Times New Roman" w:hAnsi="Times New Roman" w:cs="Times New Roman"/>
          <w:sz w:val="24"/>
          <w:szCs w:val="24"/>
        </w:rPr>
        <w:t>выявленных непрофильных активов</w:t>
      </w:r>
      <w:r>
        <w:rPr>
          <w:rFonts w:ascii="Times New Roman" w:hAnsi="Times New Roman" w:cs="Times New Roman"/>
          <w:sz w:val="24"/>
          <w:szCs w:val="24"/>
        </w:rPr>
        <w:t xml:space="preserve">). </w:t>
      </w:r>
    </w:p>
    <w:p w:rsidR="00C83EEA" w:rsidRDefault="00C83EEA" w:rsidP="00C83EEA">
      <w:pPr>
        <w:ind w:firstLine="708"/>
        <w:jc w:val="both"/>
        <w:rPr>
          <w:szCs w:val="22"/>
        </w:rPr>
      </w:pPr>
      <w:proofErr w:type="gramStart"/>
      <w:r>
        <w:t xml:space="preserve">В соответствии с </w:t>
      </w:r>
      <w:r>
        <w:rPr>
          <w:szCs w:val="22"/>
        </w:rPr>
        <w:t>Планом мероприятий по реализации на территории Томской области долгосрочной государственной экономической политики,</w:t>
      </w:r>
      <w:r w:rsidRPr="00AB0F18">
        <w:t xml:space="preserve"> </w:t>
      </w:r>
      <w:r>
        <w:rPr>
          <w:szCs w:val="22"/>
        </w:rPr>
        <w:t>утвержденным</w:t>
      </w:r>
      <w:r>
        <w:t xml:space="preserve"> ра</w:t>
      </w:r>
      <w:r>
        <w:rPr>
          <w:szCs w:val="22"/>
        </w:rPr>
        <w:t>спор</w:t>
      </w:r>
      <w:r>
        <w:rPr>
          <w:szCs w:val="22"/>
        </w:rPr>
        <w:t>я</w:t>
      </w:r>
      <w:r>
        <w:rPr>
          <w:szCs w:val="22"/>
        </w:rPr>
        <w:t xml:space="preserve">жением Губернатора Томской области от 03.07.2012 №193-р, Департаменту по </w:t>
      </w:r>
      <w:r>
        <w:rPr>
          <w:szCs w:val="22"/>
        </w:rPr>
        <w:lastRenderedPageBreak/>
        <w:t>управл</w:t>
      </w:r>
      <w:r>
        <w:rPr>
          <w:szCs w:val="22"/>
        </w:rPr>
        <w:t>е</w:t>
      </w:r>
      <w:r>
        <w:rPr>
          <w:szCs w:val="22"/>
        </w:rPr>
        <w:t>нию государственной собственностью Томской области поручено внести изменения в прогнозный план (программу) приватизации государственного имущества Томской обла</w:t>
      </w:r>
      <w:r>
        <w:rPr>
          <w:szCs w:val="22"/>
        </w:rPr>
        <w:t>с</w:t>
      </w:r>
      <w:r>
        <w:rPr>
          <w:szCs w:val="22"/>
        </w:rPr>
        <w:t>ти на 2012-2014 годы и утвердить прогнозный план (программу) приватизации государс</w:t>
      </w:r>
      <w:r>
        <w:rPr>
          <w:szCs w:val="22"/>
        </w:rPr>
        <w:t>т</w:t>
      </w:r>
      <w:r>
        <w:rPr>
          <w:szCs w:val="22"/>
        </w:rPr>
        <w:t xml:space="preserve">венного имущества Томской области на 2014-2016 годы, предусмотрев </w:t>
      </w:r>
      <w:r w:rsidRPr="004B0253">
        <w:rPr>
          <w:szCs w:val="22"/>
        </w:rPr>
        <w:t>завершение</w:t>
      </w:r>
      <w:proofErr w:type="gramEnd"/>
      <w:r w:rsidRPr="004B0253">
        <w:rPr>
          <w:szCs w:val="22"/>
        </w:rPr>
        <w:t xml:space="preserve"> до 2016 года</w:t>
      </w:r>
      <w:r>
        <w:rPr>
          <w:szCs w:val="22"/>
        </w:rPr>
        <w:t xml:space="preserve"> выхода Томской области из капитала компаний «</w:t>
      </w:r>
      <w:proofErr w:type="spellStart"/>
      <w:r>
        <w:rPr>
          <w:szCs w:val="22"/>
        </w:rPr>
        <w:t>несырьевого</w:t>
      </w:r>
      <w:proofErr w:type="spellEnd"/>
      <w:r>
        <w:rPr>
          <w:szCs w:val="22"/>
        </w:rPr>
        <w:t xml:space="preserve"> сектора», не о</w:t>
      </w:r>
      <w:r>
        <w:rPr>
          <w:szCs w:val="22"/>
        </w:rPr>
        <w:t>т</w:t>
      </w:r>
      <w:r>
        <w:rPr>
          <w:szCs w:val="22"/>
        </w:rPr>
        <w:t>носящихся к субъектам естественных монополий и организациям оборонного комплекса. Кроме того, поручено обеспечить разработку и реализацию компаниями с государстве</w:t>
      </w:r>
      <w:r>
        <w:rPr>
          <w:szCs w:val="22"/>
        </w:rPr>
        <w:t>н</w:t>
      </w:r>
      <w:r>
        <w:rPr>
          <w:szCs w:val="22"/>
        </w:rPr>
        <w:t>ным участием, в которых Томская область владеет более 50% акций, программ отчужд</w:t>
      </w:r>
      <w:r>
        <w:rPr>
          <w:szCs w:val="22"/>
        </w:rPr>
        <w:t>е</w:t>
      </w:r>
      <w:r>
        <w:rPr>
          <w:szCs w:val="22"/>
        </w:rPr>
        <w:t xml:space="preserve">ния непрофильных активов. </w:t>
      </w:r>
    </w:p>
    <w:p w:rsidR="00C83EEA" w:rsidRDefault="00C83EEA" w:rsidP="00C83EEA">
      <w:pPr>
        <w:ind w:firstLine="708"/>
        <w:jc w:val="both"/>
      </w:pPr>
      <w:r>
        <w:t>С</w:t>
      </w:r>
      <w:r w:rsidRPr="00CE10C2">
        <w:t>уществующая система планирования приватизационных процессов не позволяет эффективно реализовывать государственную политику в области приватизации областной собственност</w:t>
      </w:r>
      <w:r>
        <w:t>и, основным направлением которой является сокращение излишнего имущ</w:t>
      </w:r>
      <w:r>
        <w:t>е</w:t>
      </w:r>
      <w:r>
        <w:t>ства, неиспользуемого для исполнения государственных полномочий,</w:t>
      </w:r>
      <w:r w:rsidRPr="00C95A46">
        <w:t xml:space="preserve"> </w:t>
      </w:r>
      <w:r w:rsidRPr="00824636">
        <w:t>способствующ</w:t>
      </w:r>
      <w:r>
        <w:t>ее</w:t>
      </w:r>
      <w:r w:rsidRPr="00824636">
        <w:t xml:space="preserve"> увеличению неналоговых доходов </w:t>
      </w:r>
      <w:r>
        <w:t xml:space="preserve">областного </w:t>
      </w:r>
      <w:r w:rsidRPr="00824636">
        <w:t>бюджета</w:t>
      </w:r>
      <w:r>
        <w:t xml:space="preserve"> и</w:t>
      </w:r>
      <w:r w:rsidRPr="00824636">
        <w:t xml:space="preserve"> снижению расходов по соде</w:t>
      </w:r>
      <w:r w:rsidRPr="00824636">
        <w:t>р</w:t>
      </w:r>
      <w:r w:rsidRPr="00824636">
        <w:t>жанию таких объектов</w:t>
      </w:r>
      <w:r>
        <w:t xml:space="preserve">. </w:t>
      </w:r>
    </w:p>
    <w:p w:rsidR="00C83EEA" w:rsidRPr="00D12EFC" w:rsidRDefault="00C83EEA" w:rsidP="00C83EEA">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П</w:t>
      </w:r>
      <w:r w:rsidRPr="00CE10C2">
        <w:rPr>
          <w:rFonts w:ascii="Times New Roman" w:hAnsi="Times New Roman" w:cs="Times New Roman"/>
          <w:sz w:val="24"/>
          <w:szCs w:val="24"/>
        </w:rPr>
        <w:t>рогнозный план приватизации на 2013 год</w:t>
      </w:r>
      <w:r>
        <w:rPr>
          <w:rFonts w:ascii="Times New Roman" w:hAnsi="Times New Roman" w:cs="Times New Roman"/>
          <w:sz w:val="24"/>
          <w:szCs w:val="24"/>
        </w:rPr>
        <w:t>,</w:t>
      </w:r>
      <w:r w:rsidRPr="00FA3DAB">
        <w:rPr>
          <w:rFonts w:ascii="Times New Roman" w:hAnsi="Times New Roman" w:cs="Times New Roman"/>
          <w:sz w:val="24"/>
          <w:szCs w:val="24"/>
        </w:rPr>
        <w:t xml:space="preserve"> </w:t>
      </w:r>
      <w:r w:rsidRPr="00CE10C2">
        <w:rPr>
          <w:rFonts w:ascii="Times New Roman" w:hAnsi="Times New Roman" w:cs="Times New Roman"/>
          <w:sz w:val="24"/>
          <w:szCs w:val="24"/>
        </w:rPr>
        <w:t>представленн</w:t>
      </w:r>
      <w:r>
        <w:rPr>
          <w:rFonts w:ascii="Times New Roman" w:hAnsi="Times New Roman" w:cs="Times New Roman"/>
          <w:sz w:val="24"/>
          <w:szCs w:val="24"/>
        </w:rPr>
        <w:t>ый</w:t>
      </w:r>
      <w:r w:rsidRPr="00CE10C2">
        <w:rPr>
          <w:rFonts w:ascii="Times New Roman" w:hAnsi="Times New Roman" w:cs="Times New Roman"/>
          <w:sz w:val="24"/>
          <w:szCs w:val="24"/>
        </w:rPr>
        <w:t xml:space="preserve"> </w:t>
      </w:r>
      <w:r>
        <w:rPr>
          <w:rFonts w:ascii="Times New Roman" w:hAnsi="Times New Roman" w:cs="Times New Roman"/>
          <w:sz w:val="24"/>
          <w:szCs w:val="24"/>
        </w:rPr>
        <w:t xml:space="preserve">с </w:t>
      </w:r>
      <w:r w:rsidRPr="00CE10C2">
        <w:rPr>
          <w:rFonts w:ascii="Times New Roman" w:hAnsi="Times New Roman" w:cs="Times New Roman"/>
          <w:sz w:val="24"/>
          <w:szCs w:val="24"/>
        </w:rPr>
        <w:t>законопроект</w:t>
      </w:r>
      <w:r>
        <w:rPr>
          <w:rFonts w:ascii="Times New Roman" w:hAnsi="Times New Roman" w:cs="Times New Roman"/>
          <w:sz w:val="24"/>
          <w:szCs w:val="24"/>
        </w:rPr>
        <w:t>ом,</w:t>
      </w:r>
      <w:r w:rsidRPr="00CE10C2">
        <w:rPr>
          <w:rFonts w:ascii="Times New Roman" w:hAnsi="Times New Roman" w:cs="Times New Roman"/>
          <w:sz w:val="24"/>
          <w:szCs w:val="24"/>
        </w:rPr>
        <w:t xml:space="preserve"> не учитывает поставленных задач, а на 2014-2015 г</w:t>
      </w:r>
      <w:r>
        <w:rPr>
          <w:rFonts w:ascii="Times New Roman" w:hAnsi="Times New Roman" w:cs="Times New Roman"/>
          <w:sz w:val="24"/>
          <w:szCs w:val="24"/>
        </w:rPr>
        <w:t>оды</w:t>
      </w:r>
      <w:r w:rsidRPr="00CE10C2">
        <w:rPr>
          <w:rFonts w:ascii="Times New Roman" w:hAnsi="Times New Roman" w:cs="Times New Roman"/>
          <w:sz w:val="24"/>
          <w:szCs w:val="24"/>
        </w:rPr>
        <w:t xml:space="preserve"> п</w:t>
      </w:r>
      <w:r>
        <w:rPr>
          <w:rFonts w:ascii="Times New Roman" w:hAnsi="Times New Roman" w:cs="Times New Roman"/>
          <w:sz w:val="24"/>
          <w:szCs w:val="24"/>
        </w:rPr>
        <w:t>лан</w:t>
      </w:r>
      <w:r w:rsidRPr="00CE10C2">
        <w:rPr>
          <w:rFonts w:ascii="Times New Roman" w:hAnsi="Times New Roman" w:cs="Times New Roman"/>
          <w:sz w:val="24"/>
          <w:szCs w:val="24"/>
        </w:rPr>
        <w:t xml:space="preserve"> приватизации вообще не сформирован. </w:t>
      </w:r>
      <w:r>
        <w:rPr>
          <w:rFonts w:ascii="Times New Roman" w:hAnsi="Times New Roman" w:cs="Times New Roman"/>
          <w:sz w:val="24"/>
          <w:szCs w:val="24"/>
        </w:rPr>
        <w:t xml:space="preserve">В целях </w:t>
      </w:r>
      <w:r w:rsidRPr="0013288A">
        <w:rPr>
          <w:rFonts w:ascii="Times New Roman" w:hAnsi="Times New Roman" w:cs="Times New Roman"/>
          <w:b/>
          <w:sz w:val="24"/>
          <w:szCs w:val="24"/>
        </w:rPr>
        <w:t xml:space="preserve">дополнения </w:t>
      </w:r>
      <w:r w:rsidRPr="008E62B1">
        <w:rPr>
          <w:rFonts w:ascii="Times New Roman" w:hAnsi="Times New Roman" w:cs="Times New Roman"/>
          <w:b/>
          <w:sz w:val="24"/>
          <w:szCs w:val="24"/>
        </w:rPr>
        <w:t>Прогнозного плана (программы) приватизации государственного имущества Томской области</w:t>
      </w:r>
      <w:r>
        <w:rPr>
          <w:rFonts w:ascii="Times New Roman" w:hAnsi="Times New Roman" w:cs="Times New Roman"/>
          <w:sz w:val="24"/>
          <w:szCs w:val="24"/>
        </w:rPr>
        <w:t xml:space="preserve"> на планируемый период полагаем необх</w:t>
      </w:r>
      <w:r>
        <w:rPr>
          <w:rFonts w:ascii="Times New Roman" w:hAnsi="Times New Roman" w:cs="Times New Roman"/>
          <w:sz w:val="24"/>
          <w:szCs w:val="24"/>
        </w:rPr>
        <w:t>о</w:t>
      </w:r>
      <w:r>
        <w:rPr>
          <w:rFonts w:ascii="Times New Roman" w:hAnsi="Times New Roman" w:cs="Times New Roman"/>
          <w:sz w:val="24"/>
          <w:szCs w:val="24"/>
        </w:rPr>
        <w:t xml:space="preserve">димым рассмотреть вопросы, связанные с нахождением в областной собственности таких объектов, как </w:t>
      </w:r>
      <w:r w:rsidRPr="00824636">
        <w:rPr>
          <w:rFonts w:ascii="Times New Roman" w:hAnsi="Times New Roman" w:cs="Times New Roman"/>
          <w:sz w:val="24"/>
          <w:szCs w:val="24"/>
        </w:rPr>
        <w:t>имущественн</w:t>
      </w:r>
      <w:r>
        <w:rPr>
          <w:rFonts w:ascii="Times New Roman" w:hAnsi="Times New Roman" w:cs="Times New Roman"/>
          <w:sz w:val="24"/>
          <w:szCs w:val="24"/>
        </w:rPr>
        <w:t>ый</w:t>
      </w:r>
      <w:r w:rsidRPr="00824636">
        <w:rPr>
          <w:rFonts w:ascii="Times New Roman" w:hAnsi="Times New Roman" w:cs="Times New Roman"/>
          <w:sz w:val="24"/>
          <w:szCs w:val="24"/>
        </w:rPr>
        <w:t xml:space="preserve"> комплекс</w:t>
      </w:r>
      <w:r>
        <w:rPr>
          <w:rFonts w:ascii="Times New Roman" w:hAnsi="Times New Roman" w:cs="Times New Roman"/>
          <w:sz w:val="24"/>
          <w:szCs w:val="24"/>
        </w:rPr>
        <w:t>, расположенный</w:t>
      </w:r>
      <w:r w:rsidRPr="00824636">
        <w:rPr>
          <w:rFonts w:ascii="Times New Roman" w:hAnsi="Times New Roman" w:cs="Times New Roman"/>
          <w:sz w:val="24"/>
          <w:szCs w:val="24"/>
        </w:rPr>
        <w:t xml:space="preserve"> </w:t>
      </w:r>
      <w:r>
        <w:rPr>
          <w:rFonts w:ascii="Times New Roman" w:hAnsi="Times New Roman" w:cs="Times New Roman"/>
          <w:sz w:val="24"/>
          <w:szCs w:val="24"/>
        </w:rPr>
        <w:t xml:space="preserve">по адресу: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.Т</w:t>
      </w:r>
      <w:proofErr w:type="gramEnd"/>
      <w:r>
        <w:rPr>
          <w:rFonts w:ascii="Times New Roman" w:hAnsi="Times New Roman" w:cs="Times New Roman"/>
          <w:sz w:val="24"/>
          <w:szCs w:val="24"/>
        </w:rPr>
        <w:t>омск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ул.Мич</w:t>
      </w:r>
      <w:r>
        <w:rPr>
          <w:rFonts w:ascii="Times New Roman" w:hAnsi="Times New Roman" w:cs="Times New Roman"/>
          <w:sz w:val="24"/>
          <w:szCs w:val="24"/>
        </w:rPr>
        <w:t>у</w:t>
      </w:r>
      <w:r>
        <w:rPr>
          <w:rFonts w:ascii="Times New Roman" w:hAnsi="Times New Roman" w:cs="Times New Roman"/>
          <w:sz w:val="24"/>
          <w:szCs w:val="24"/>
        </w:rPr>
        <w:t>рина</w:t>
      </w:r>
      <w:proofErr w:type="spellEnd"/>
      <w:r>
        <w:rPr>
          <w:rFonts w:ascii="Times New Roman" w:hAnsi="Times New Roman" w:cs="Times New Roman"/>
          <w:sz w:val="24"/>
          <w:szCs w:val="24"/>
        </w:rPr>
        <w:t xml:space="preserve">, 110; </w:t>
      </w:r>
      <w:r w:rsidRPr="00D12EFC">
        <w:rPr>
          <w:rFonts w:ascii="Times New Roman" w:hAnsi="Times New Roman" w:cs="Times New Roman"/>
          <w:sz w:val="24"/>
          <w:szCs w:val="24"/>
        </w:rPr>
        <w:t>17 объектов недвижимос</w:t>
      </w:r>
      <w:r>
        <w:rPr>
          <w:rFonts w:ascii="Times New Roman" w:hAnsi="Times New Roman" w:cs="Times New Roman"/>
          <w:sz w:val="24"/>
          <w:szCs w:val="24"/>
        </w:rPr>
        <w:t xml:space="preserve">ти, расположенных по адресу: </w:t>
      </w:r>
      <w:proofErr w:type="spellStart"/>
      <w:r>
        <w:rPr>
          <w:rFonts w:ascii="Times New Roman" w:hAnsi="Times New Roman" w:cs="Times New Roman"/>
          <w:sz w:val="24"/>
          <w:szCs w:val="24"/>
        </w:rPr>
        <w:t>г.Томск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w:t>
      </w:r>
      <w:r w:rsidRPr="00D12EFC">
        <w:rPr>
          <w:rFonts w:ascii="Times New Roman" w:hAnsi="Times New Roman" w:cs="Times New Roman"/>
          <w:sz w:val="24"/>
          <w:szCs w:val="24"/>
        </w:rPr>
        <w:t>Угрюмова</w:t>
      </w:r>
      <w:proofErr w:type="spellEnd"/>
      <w:r w:rsidRPr="00D12EFC">
        <w:rPr>
          <w:rFonts w:ascii="Times New Roman" w:hAnsi="Times New Roman" w:cs="Times New Roman"/>
          <w:sz w:val="24"/>
          <w:szCs w:val="24"/>
        </w:rPr>
        <w:t>,</w:t>
      </w:r>
      <w:r>
        <w:rPr>
          <w:rFonts w:ascii="Times New Roman" w:hAnsi="Times New Roman" w:cs="Times New Roman"/>
          <w:sz w:val="24"/>
          <w:szCs w:val="24"/>
        </w:rPr>
        <w:t xml:space="preserve"> 1; нежилые здания с земельными участками (</w:t>
      </w:r>
      <w:proofErr w:type="spellStart"/>
      <w:r>
        <w:rPr>
          <w:rFonts w:ascii="Times New Roman" w:hAnsi="Times New Roman" w:cs="Times New Roman"/>
          <w:sz w:val="24"/>
          <w:szCs w:val="24"/>
        </w:rPr>
        <w:t>г.Томск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пр.Ленина</w:t>
      </w:r>
      <w:proofErr w:type="spellEnd"/>
      <w:r>
        <w:rPr>
          <w:rFonts w:ascii="Times New Roman" w:hAnsi="Times New Roman" w:cs="Times New Roman"/>
          <w:sz w:val="24"/>
          <w:szCs w:val="24"/>
        </w:rPr>
        <w:t xml:space="preserve">, 151а; Томский район,  </w:t>
      </w:r>
      <w:proofErr w:type="spellStart"/>
      <w:r>
        <w:rPr>
          <w:rFonts w:ascii="Times New Roman" w:hAnsi="Times New Roman" w:cs="Times New Roman"/>
          <w:sz w:val="24"/>
          <w:szCs w:val="24"/>
        </w:rPr>
        <w:t>п</w:t>
      </w:r>
      <w:proofErr w:type="gramStart"/>
      <w:r>
        <w:rPr>
          <w:rFonts w:ascii="Times New Roman" w:hAnsi="Times New Roman" w:cs="Times New Roman"/>
          <w:sz w:val="24"/>
          <w:szCs w:val="24"/>
        </w:rPr>
        <w:t>.Б</w:t>
      </w:r>
      <w:proofErr w:type="gramEnd"/>
      <w:r>
        <w:rPr>
          <w:rFonts w:ascii="Times New Roman" w:hAnsi="Times New Roman" w:cs="Times New Roman"/>
          <w:sz w:val="24"/>
          <w:szCs w:val="24"/>
        </w:rPr>
        <w:t>асандайка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ул.Путевая</w:t>
      </w:r>
      <w:proofErr w:type="spellEnd"/>
      <w:r>
        <w:rPr>
          <w:rFonts w:ascii="Times New Roman" w:hAnsi="Times New Roman" w:cs="Times New Roman"/>
          <w:sz w:val="24"/>
          <w:szCs w:val="24"/>
        </w:rPr>
        <w:t>, 4а) и др.</w:t>
      </w:r>
      <w:r w:rsidRPr="00D12EFC">
        <w:rPr>
          <w:rFonts w:ascii="Times New Roman" w:hAnsi="Times New Roman" w:cs="Times New Roman"/>
          <w:sz w:val="24"/>
          <w:szCs w:val="24"/>
        </w:rPr>
        <w:t xml:space="preserve"> </w:t>
      </w:r>
    </w:p>
    <w:p w:rsidR="00C83EEA" w:rsidRDefault="00C83EEA" w:rsidP="00C83EEA">
      <w:pPr>
        <w:pStyle w:val="ConsPlusNormal"/>
        <w:widowControl/>
        <w:jc w:val="both"/>
      </w:pPr>
    </w:p>
    <w:p w:rsidR="00C83EEA" w:rsidRDefault="00C83EEA" w:rsidP="00C83EEA">
      <w:pPr>
        <w:ind w:firstLine="708"/>
        <w:jc w:val="both"/>
      </w:pPr>
      <w:r w:rsidRPr="0036152D">
        <w:rPr>
          <w:b/>
        </w:rPr>
        <w:t>План приобретения недвижимого имущества в государственную собстве</w:t>
      </w:r>
      <w:r w:rsidRPr="0036152D">
        <w:rPr>
          <w:b/>
        </w:rPr>
        <w:t>н</w:t>
      </w:r>
      <w:r w:rsidRPr="0036152D">
        <w:rPr>
          <w:b/>
        </w:rPr>
        <w:t>ность Томской области на 2013</w:t>
      </w:r>
      <w:r>
        <w:rPr>
          <w:b/>
        </w:rPr>
        <w:t xml:space="preserve"> год и на плановый период 2014 и </w:t>
      </w:r>
      <w:r w:rsidRPr="0036152D">
        <w:rPr>
          <w:b/>
        </w:rPr>
        <w:t>2015 г</w:t>
      </w:r>
      <w:r>
        <w:rPr>
          <w:b/>
        </w:rPr>
        <w:t>одов</w:t>
      </w:r>
      <w:r>
        <w:t xml:space="preserve">, как и в предыдущие годы, не сформирован. </w:t>
      </w:r>
      <w:r w:rsidRPr="00025FFD">
        <w:t>С</w:t>
      </w:r>
      <w:r>
        <w:t>уществующая система планирования приводит к многочисленным внесениям корректировок в указанный план</w:t>
      </w:r>
      <w:r w:rsidRPr="00025FFD">
        <w:t xml:space="preserve"> </w:t>
      </w:r>
      <w:r>
        <w:t>в течение</w:t>
      </w:r>
      <w:r w:rsidRPr="00025FFD">
        <w:t xml:space="preserve"> финансов</w:t>
      </w:r>
      <w:r>
        <w:t>ого</w:t>
      </w:r>
      <w:r w:rsidRPr="00025FFD">
        <w:t xml:space="preserve"> год</w:t>
      </w:r>
      <w:r>
        <w:t>а.</w:t>
      </w:r>
    </w:p>
    <w:p w:rsidR="00C83EEA" w:rsidRPr="00C7411F" w:rsidRDefault="00C83EEA" w:rsidP="00C83EEA">
      <w:pPr>
        <w:autoSpaceDE w:val="0"/>
        <w:autoSpaceDN w:val="0"/>
        <w:adjustRightInd w:val="0"/>
        <w:ind w:firstLine="540"/>
        <w:jc w:val="both"/>
        <w:outlineLvl w:val="0"/>
        <w:rPr>
          <w:i/>
        </w:rPr>
      </w:pPr>
      <w:r w:rsidRPr="00C7411F">
        <w:rPr>
          <w:i/>
        </w:rPr>
        <w:t xml:space="preserve"> </w:t>
      </w:r>
    </w:p>
    <w:p w:rsidR="00C83EEA" w:rsidRPr="001E1016" w:rsidRDefault="00C83EEA" w:rsidP="00C83EEA">
      <w:pPr>
        <w:jc w:val="both"/>
        <w:rPr>
          <w:b/>
        </w:rPr>
      </w:pPr>
      <w:r>
        <w:rPr>
          <w:b/>
        </w:rPr>
        <w:t>8</w:t>
      </w:r>
      <w:r w:rsidRPr="001E1016">
        <w:rPr>
          <w:b/>
        </w:rPr>
        <w:t>. Дефицит бюджета, государственный долг Томской области и расходы на обслуживание государственного долга, программа государственных гарантий Томской области.</w:t>
      </w:r>
    </w:p>
    <w:p w:rsidR="00C83EEA" w:rsidRPr="001E1016" w:rsidRDefault="00C83EEA" w:rsidP="00C83EEA">
      <w:pPr>
        <w:spacing w:before="120"/>
        <w:ind w:firstLine="539"/>
        <w:jc w:val="both"/>
      </w:pPr>
      <w:r w:rsidRPr="001E1016">
        <w:t>Характеристики указанных показателей и их соответствие требованиям бюджетного законодат</w:t>
      </w:r>
      <w:r>
        <w:t>ельства приведены в Приложении 5</w:t>
      </w:r>
      <w:r w:rsidRPr="001E1016">
        <w:t xml:space="preserve"> к настоящему Заключению.</w:t>
      </w:r>
    </w:p>
    <w:p w:rsidR="00C83EEA" w:rsidRPr="00C7411F" w:rsidRDefault="00C83EEA" w:rsidP="00C83EEA">
      <w:pPr>
        <w:autoSpaceDE w:val="0"/>
        <w:autoSpaceDN w:val="0"/>
        <w:adjustRightInd w:val="0"/>
        <w:jc w:val="both"/>
        <w:outlineLvl w:val="0"/>
        <w:rPr>
          <w:i/>
        </w:rPr>
      </w:pPr>
    </w:p>
    <w:p w:rsidR="00C83EEA" w:rsidRPr="003E3F20" w:rsidRDefault="00C83EEA" w:rsidP="00C83EEA">
      <w:pPr>
        <w:rPr>
          <w:b/>
        </w:rPr>
      </w:pPr>
      <w:r>
        <w:rPr>
          <w:b/>
        </w:rPr>
        <w:t>9. Замечания п</w:t>
      </w:r>
      <w:r w:rsidRPr="006E74B8">
        <w:rPr>
          <w:b/>
        </w:rPr>
        <w:t>о текстовой части законопроекта</w:t>
      </w:r>
      <w:r>
        <w:rPr>
          <w:b/>
        </w:rPr>
        <w:t>.</w:t>
      </w:r>
    </w:p>
    <w:p w:rsidR="00C83EEA" w:rsidRPr="006E74B8" w:rsidRDefault="00C83EEA" w:rsidP="00C83EEA">
      <w:pPr>
        <w:widowControl w:val="0"/>
        <w:autoSpaceDE w:val="0"/>
        <w:autoSpaceDN w:val="0"/>
        <w:adjustRightInd w:val="0"/>
        <w:spacing w:before="120"/>
        <w:ind w:firstLine="539"/>
        <w:jc w:val="both"/>
      </w:pPr>
      <w:proofErr w:type="gramStart"/>
      <w:r w:rsidRPr="006E74B8">
        <w:rPr>
          <w:b/>
        </w:rPr>
        <w:t>Пунктом 4 части 2 статьи 15</w:t>
      </w:r>
      <w:r w:rsidRPr="006E74B8">
        <w:t xml:space="preserve"> законопроекта предлагается установить </w:t>
      </w:r>
      <w:r>
        <w:t xml:space="preserve">одним из </w:t>
      </w:r>
      <w:r w:rsidRPr="006E74B8">
        <w:t>основани</w:t>
      </w:r>
      <w:r>
        <w:t>й</w:t>
      </w:r>
      <w:r w:rsidRPr="006E74B8">
        <w:t xml:space="preserve"> внесения изменений в сводную бюджетную роспись без внесения изменений в закон об областном бюджет</w:t>
      </w:r>
      <w:r>
        <w:t>е</w:t>
      </w:r>
      <w:r w:rsidRPr="006E74B8">
        <w:t xml:space="preserve"> - изменение размеров субсидий, предусмотренных областным государственным бюджетным и автономным учреждениям на возмещение нормативных</w:t>
      </w:r>
      <w:r>
        <w:t xml:space="preserve"> затрат, связанных с оказанием </w:t>
      </w:r>
      <w:r w:rsidRPr="006E74B8">
        <w:t>ими в соответствии с государственным заданием государственных услуг (выполнением работ), в связи с внесением изменений в государственное</w:t>
      </w:r>
      <w:proofErr w:type="gramEnd"/>
      <w:r w:rsidRPr="006E74B8">
        <w:t xml:space="preserve"> задание.</w:t>
      </w:r>
    </w:p>
    <w:p w:rsidR="00C83EEA" w:rsidRPr="006E74B8" w:rsidRDefault="00C83EEA" w:rsidP="00C83EEA">
      <w:pPr>
        <w:widowControl w:val="0"/>
        <w:autoSpaceDE w:val="0"/>
        <w:autoSpaceDN w:val="0"/>
        <w:adjustRightInd w:val="0"/>
        <w:ind w:firstLine="540"/>
        <w:jc w:val="both"/>
      </w:pPr>
      <w:r w:rsidRPr="006E74B8">
        <w:t>В связи с этим следует отметить, что в соотве</w:t>
      </w:r>
      <w:r>
        <w:t>тствии с частью 4 статьи 69.2 Бюджетного кодекса</w:t>
      </w:r>
      <w:r w:rsidRPr="006E74B8">
        <w:t xml:space="preserve"> РФ финансовое обеспечение выполнения государственных заданий осуществляется в порядке, установленном высшим исполнительным органом государственной власти субъекта Российской Федерации. </w:t>
      </w:r>
    </w:p>
    <w:p w:rsidR="00C83EEA" w:rsidRDefault="00C83EEA" w:rsidP="00C83EEA">
      <w:pPr>
        <w:widowControl w:val="0"/>
        <w:autoSpaceDE w:val="0"/>
        <w:autoSpaceDN w:val="0"/>
        <w:adjustRightInd w:val="0"/>
        <w:ind w:firstLine="540"/>
        <w:jc w:val="both"/>
      </w:pPr>
      <w:proofErr w:type="gramStart"/>
      <w:r w:rsidRPr="006E74B8">
        <w:t>Согласно пункту 6 Положения о формировании государственного задания в отношении областных государственных учреждений и финансовом обеспечении выполнения государственного задания, утвержденно</w:t>
      </w:r>
      <w:r>
        <w:t>го</w:t>
      </w:r>
      <w:r w:rsidRPr="006E74B8">
        <w:t xml:space="preserve"> постановлением Администрации</w:t>
      </w:r>
      <w:r>
        <w:t xml:space="preserve"> </w:t>
      </w:r>
      <w:r>
        <w:lastRenderedPageBreak/>
        <w:t xml:space="preserve">Томской области от 26.10.2010 № </w:t>
      </w:r>
      <w:r w:rsidRPr="006E74B8">
        <w:t xml:space="preserve">209а,  </w:t>
      </w:r>
      <w:r>
        <w:t>основанием для внесения изменений в государственное задание может быть как необходимость изменения показателей государственного задания (</w:t>
      </w:r>
      <w:r w:rsidRPr="006E74B8">
        <w:t>влечет за собой изменени</w:t>
      </w:r>
      <w:r>
        <w:t>е</w:t>
      </w:r>
      <w:r w:rsidRPr="006E74B8">
        <w:t xml:space="preserve"> объема финансирования</w:t>
      </w:r>
      <w:r>
        <w:t>)</w:t>
      </w:r>
      <w:r w:rsidRPr="006E74B8">
        <w:t>, так и изменение</w:t>
      </w:r>
      <w:r>
        <w:t xml:space="preserve"> самих</w:t>
      </w:r>
      <w:r w:rsidRPr="006E74B8">
        <w:t xml:space="preserve"> объемов финансирования, предусмотренных областным бюджетом</w:t>
      </w:r>
      <w:r>
        <w:t>.</w:t>
      </w:r>
      <w:proofErr w:type="gramEnd"/>
      <w:r>
        <w:t xml:space="preserve"> </w:t>
      </w:r>
      <w:r w:rsidRPr="006E74B8">
        <w:t xml:space="preserve">Таким образом, </w:t>
      </w:r>
      <w:r>
        <w:t xml:space="preserve">по мнению Контрольно-счетной палаты, </w:t>
      </w:r>
      <w:r w:rsidRPr="006E74B8">
        <w:t xml:space="preserve">фактический объем финансирования государственного задания должен </w:t>
      </w:r>
      <w:r>
        <w:t xml:space="preserve">быть </w:t>
      </w:r>
      <w:r w:rsidRPr="006E74B8">
        <w:t>отраж</w:t>
      </w:r>
      <w:r>
        <w:t>ен в</w:t>
      </w:r>
      <w:r w:rsidRPr="006E74B8">
        <w:t xml:space="preserve"> закон</w:t>
      </w:r>
      <w:r>
        <w:t>е об областном бюджете.</w:t>
      </w:r>
    </w:p>
    <w:p w:rsidR="00C83EEA" w:rsidRPr="006E74B8" w:rsidRDefault="00C83EEA" w:rsidP="00C83EEA">
      <w:pPr>
        <w:widowControl w:val="0"/>
        <w:autoSpaceDE w:val="0"/>
        <w:autoSpaceDN w:val="0"/>
        <w:adjustRightInd w:val="0"/>
        <w:ind w:firstLine="540"/>
        <w:jc w:val="both"/>
      </w:pPr>
      <w:r w:rsidRPr="006E74B8">
        <w:t>На основании изложенного, предлагаем пункт 4 части 2 статьи 15 законопроекта исключить.</w:t>
      </w:r>
    </w:p>
    <w:p w:rsidR="00C83EEA" w:rsidRPr="006E74B8" w:rsidRDefault="00C83EEA" w:rsidP="00C83EEA">
      <w:pPr>
        <w:widowControl w:val="0"/>
        <w:autoSpaceDE w:val="0"/>
        <w:autoSpaceDN w:val="0"/>
        <w:adjustRightInd w:val="0"/>
        <w:ind w:firstLine="540"/>
        <w:jc w:val="both"/>
      </w:pPr>
      <w:r w:rsidRPr="006E74B8">
        <w:t xml:space="preserve">Согласно </w:t>
      </w:r>
      <w:r w:rsidRPr="006E74B8">
        <w:rPr>
          <w:b/>
        </w:rPr>
        <w:t>статье 23</w:t>
      </w:r>
      <w:r w:rsidRPr="006E74B8">
        <w:t xml:space="preserve"> законопроекта уровень </w:t>
      </w:r>
      <w:proofErr w:type="spellStart"/>
      <w:r w:rsidRPr="006E74B8">
        <w:t>софинансирования</w:t>
      </w:r>
      <w:proofErr w:type="spellEnd"/>
      <w:r w:rsidRPr="006E74B8">
        <w:t xml:space="preserve"> из областного бюджета по субсидиям на проектирование и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r>
        <w:t>,</w:t>
      </w:r>
      <w:r w:rsidRPr="006E74B8">
        <w:t xml:space="preserve"> должен устанавливаться </w:t>
      </w:r>
      <w:r w:rsidRPr="006E74B8">
        <w:rPr>
          <w:b/>
        </w:rPr>
        <w:t>приложением 21</w:t>
      </w:r>
      <w:r w:rsidRPr="006E74B8">
        <w:t xml:space="preserve"> к закону об областном бюджете. Однако указанное приложение соответствующих норм не содержит.</w:t>
      </w:r>
    </w:p>
    <w:p w:rsidR="00C83EEA" w:rsidRPr="006E74B8" w:rsidRDefault="00C83EEA" w:rsidP="00C83EEA">
      <w:pPr>
        <w:widowControl w:val="0"/>
        <w:autoSpaceDE w:val="0"/>
        <w:autoSpaceDN w:val="0"/>
        <w:adjustRightInd w:val="0"/>
        <w:ind w:firstLine="540"/>
        <w:jc w:val="both"/>
      </w:pPr>
      <w:r w:rsidRPr="000B11D1">
        <w:rPr>
          <w:b/>
        </w:rPr>
        <w:t>Статьей 24</w:t>
      </w:r>
      <w:r w:rsidRPr="000B11D1">
        <w:t xml:space="preserve"> законопроекта определены условия проведения реструктуризации задолженности</w:t>
      </w:r>
      <w:r w:rsidRPr="006E74B8">
        <w:t xml:space="preserve"> по бюджетным кредитам юридическим лицам, в соответствии с которыми Администрацией Томской области должен быть определен порядок проведения рестру</w:t>
      </w:r>
      <w:r>
        <w:t>ктуризации (часть 10 ст.93.2 Бюджетного кодекса</w:t>
      </w:r>
      <w:r w:rsidRPr="006E74B8">
        <w:t xml:space="preserve"> РФ). В связи с этим следует отмет</w:t>
      </w:r>
      <w:r>
        <w:t>ить, что законопроект, в отличие</w:t>
      </w:r>
      <w:r w:rsidRPr="006E74B8">
        <w:t xml:space="preserve"> от</w:t>
      </w:r>
      <w:r>
        <w:t xml:space="preserve"> требований, действовавших в 2</w:t>
      </w:r>
      <w:r w:rsidRPr="006E74B8">
        <w:t xml:space="preserve">011 и 2012 годах, не </w:t>
      </w:r>
      <w:r>
        <w:t>устанавливает</w:t>
      </w:r>
      <w:r w:rsidRPr="006E74B8">
        <w:t>,</w:t>
      </w:r>
      <w:r>
        <w:t xml:space="preserve"> что реструктуризация</w:t>
      </w:r>
      <w:r w:rsidRPr="006E74B8">
        <w:t xml:space="preserve">  производится один раз.</w:t>
      </w:r>
    </w:p>
    <w:p w:rsidR="00C83EEA" w:rsidRPr="006E74B8" w:rsidRDefault="00C83EEA" w:rsidP="00C83EEA">
      <w:pPr>
        <w:widowControl w:val="0"/>
        <w:autoSpaceDE w:val="0"/>
        <w:autoSpaceDN w:val="0"/>
        <w:adjustRightInd w:val="0"/>
        <w:ind w:firstLine="540"/>
        <w:jc w:val="both"/>
      </w:pPr>
      <w:r w:rsidRPr="006E74B8">
        <w:t>Замечания по</w:t>
      </w:r>
      <w:r>
        <w:t xml:space="preserve"> отражению в</w:t>
      </w:r>
      <w:r w:rsidRPr="006E74B8">
        <w:t xml:space="preserve"> проект</w:t>
      </w:r>
      <w:r>
        <w:t>е</w:t>
      </w:r>
      <w:r w:rsidRPr="006E74B8">
        <w:t xml:space="preserve"> закона об областном бюджете </w:t>
      </w:r>
      <w:r>
        <w:t xml:space="preserve">долгосрочных и </w:t>
      </w:r>
      <w:r w:rsidRPr="006E74B8">
        <w:t xml:space="preserve"> региональных программ на 2013 год и на плановый период 2014 и 2015 годов (</w:t>
      </w:r>
      <w:r w:rsidRPr="006E74B8">
        <w:rPr>
          <w:b/>
        </w:rPr>
        <w:t>пункт 12</w:t>
      </w:r>
      <w:r w:rsidRPr="006E74B8">
        <w:t xml:space="preserve"> </w:t>
      </w:r>
      <w:r w:rsidRPr="006E74B8">
        <w:rPr>
          <w:b/>
        </w:rPr>
        <w:t>статьи 7</w:t>
      </w:r>
      <w:r w:rsidRPr="006E74B8">
        <w:t>) отражены в разделе «Анализ перечня и объемов финансирования целевых программ».</w:t>
      </w:r>
    </w:p>
    <w:p w:rsidR="00C83EEA" w:rsidRDefault="00C83EEA" w:rsidP="00C83EEA">
      <w:pPr>
        <w:ind w:firstLine="540"/>
        <w:jc w:val="both"/>
        <w:rPr>
          <w:b/>
          <w:bCs/>
        </w:rPr>
      </w:pPr>
    </w:p>
    <w:p w:rsidR="00C83EEA" w:rsidRDefault="00C83EEA" w:rsidP="00C83EEA">
      <w:pPr>
        <w:ind w:firstLine="540"/>
        <w:jc w:val="both"/>
        <w:rPr>
          <w:b/>
          <w:bCs/>
        </w:rPr>
      </w:pPr>
      <w:r>
        <w:rPr>
          <w:b/>
          <w:bCs/>
        </w:rPr>
        <w:t>Таким образом, с</w:t>
      </w:r>
      <w:r w:rsidRPr="007579FA">
        <w:rPr>
          <w:b/>
          <w:bCs/>
        </w:rPr>
        <w:t xml:space="preserve"> учетом </w:t>
      </w:r>
      <w:proofErr w:type="gramStart"/>
      <w:r w:rsidRPr="007579FA">
        <w:rPr>
          <w:b/>
          <w:bCs/>
        </w:rPr>
        <w:t>изл</w:t>
      </w:r>
      <w:r>
        <w:rPr>
          <w:b/>
          <w:bCs/>
        </w:rPr>
        <w:t>оженного</w:t>
      </w:r>
      <w:proofErr w:type="gramEnd"/>
      <w:r>
        <w:rPr>
          <w:b/>
          <w:bCs/>
        </w:rPr>
        <w:t xml:space="preserve"> в настоящем Заключении: </w:t>
      </w:r>
    </w:p>
    <w:p w:rsidR="00C83EEA" w:rsidRPr="007579FA" w:rsidRDefault="00C83EEA" w:rsidP="00C83EEA">
      <w:pPr>
        <w:ind w:firstLine="540"/>
        <w:jc w:val="both"/>
        <w:rPr>
          <w:b/>
          <w:bCs/>
        </w:rPr>
      </w:pPr>
    </w:p>
    <w:p w:rsidR="00C83EEA" w:rsidRPr="007579FA" w:rsidRDefault="00C83EEA" w:rsidP="00C83EEA">
      <w:pPr>
        <w:ind w:firstLine="567"/>
        <w:jc w:val="both"/>
        <w:rPr>
          <w:b/>
        </w:rPr>
      </w:pPr>
      <w:r>
        <w:rPr>
          <w:b/>
        </w:rPr>
        <w:t xml:space="preserve">- </w:t>
      </w:r>
      <w:r w:rsidRPr="007579FA">
        <w:rPr>
          <w:b/>
        </w:rPr>
        <w:t>законопроект по форме и содержанию сформирован с учетов требован</w:t>
      </w:r>
      <w:r>
        <w:rPr>
          <w:b/>
        </w:rPr>
        <w:t>ий бюджетного законодательства,</w:t>
      </w:r>
      <w:r w:rsidRPr="007579FA">
        <w:rPr>
          <w:b/>
        </w:rPr>
        <w:t xml:space="preserve"> может быть принят в первом чтении и направлен в Согласительную комиссию для доработки согласно ст.23 Закона Томской области «О бюджетном процессе в Томской области»;</w:t>
      </w:r>
    </w:p>
    <w:p w:rsidR="00C83EEA" w:rsidRPr="007579FA" w:rsidRDefault="00C83EEA" w:rsidP="00C83EEA">
      <w:pPr>
        <w:ind w:firstLine="567"/>
        <w:jc w:val="both"/>
        <w:rPr>
          <w:b/>
        </w:rPr>
      </w:pPr>
      <w:r w:rsidRPr="007579FA">
        <w:rPr>
          <w:b/>
        </w:rPr>
        <w:t xml:space="preserve">- </w:t>
      </w:r>
      <w:r>
        <w:rPr>
          <w:b/>
        </w:rPr>
        <w:t>Контрольно-счетная палата в целом поддерживает</w:t>
      </w:r>
      <w:r w:rsidRPr="007579FA">
        <w:rPr>
          <w:b/>
        </w:rPr>
        <w:t xml:space="preserve"> позицию Администрации Томской области по расчетам прогноза доходов областного</w:t>
      </w:r>
      <w:r>
        <w:rPr>
          <w:b/>
        </w:rPr>
        <w:t xml:space="preserve"> бюджета по умеренно-оптимистическо</w:t>
      </w:r>
      <w:r w:rsidRPr="007579FA">
        <w:rPr>
          <w:b/>
        </w:rPr>
        <w:t>му</w:t>
      </w:r>
      <w:r>
        <w:rPr>
          <w:b/>
        </w:rPr>
        <w:t xml:space="preserve"> (основному)</w:t>
      </w:r>
      <w:r w:rsidRPr="007579FA">
        <w:rPr>
          <w:b/>
        </w:rPr>
        <w:t xml:space="preserve"> сценарию социально-экономического</w:t>
      </w:r>
      <w:r>
        <w:rPr>
          <w:b/>
        </w:rPr>
        <w:t xml:space="preserve"> развития, вместе с тем полагает</w:t>
      </w:r>
      <w:r w:rsidRPr="007579FA">
        <w:rPr>
          <w:b/>
        </w:rPr>
        <w:t xml:space="preserve"> возможным по структуре доходных источников изыскать дополнительные резервы на </w:t>
      </w:r>
      <w:r>
        <w:rPr>
          <w:b/>
        </w:rPr>
        <w:t>2013 год в объеме (</w:t>
      </w:r>
      <w:proofErr w:type="spellStart"/>
      <w:r>
        <w:rPr>
          <w:b/>
        </w:rPr>
        <w:t>расчетно</w:t>
      </w:r>
      <w:proofErr w:type="spellEnd"/>
      <w:r>
        <w:rPr>
          <w:b/>
        </w:rPr>
        <w:t>) 275</w:t>
      </w:r>
      <w:r w:rsidRPr="007579FA">
        <w:rPr>
          <w:b/>
        </w:rPr>
        <w:t xml:space="preserve"> </w:t>
      </w:r>
      <w:proofErr w:type="spellStart"/>
      <w:r w:rsidRPr="007579FA">
        <w:rPr>
          <w:b/>
        </w:rPr>
        <w:t>млн</w:t>
      </w:r>
      <w:proofErr w:type="gramStart"/>
      <w:r w:rsidRPr="007579FA">
        <w:rPr>
          <w:b/>
        </w:rPr>
        <w:t>.р</w:t>
      </w:r>
      <w:proofErr w:type="gramEnd"/>
      <w:r w:rsidRPr="007579FA">
        <w:rPr>
          <w:b/>
        </w:rPr>
        <w:t>ублей</w:t>
      </w:r>
      <w:proofErr w:type="spellEnd"/>
      <w:r w:rsidRPr="007579FA">
        <w:rPr>
          <w:b/>
        </w:rPr>
        <w:t>;</w:t>
      </w:r>
    </w:p>
    <w:p w:rsidR="00C83EEA" w:rsidRPr="007579FA" w:rsidRDefault="00C83EEA" w:rsidP="00C83EEA">
      <w:pPr>
        <w:ind w:firstLine="567"/>
        <w:jc w:val="both"/>
        <w:rPr>
          <w:b/>
        </w:rPr>
      </w:pPr>
      <w:r w:rsidRPr="007579FA">
        <w:rPr>
          <w:b/>
        </w:rPr>
        <w:t xml:space="preserve">- требуется корректировка объемов бюджетных инвестиций  на строительство (реконструкцию) объектов областной государственной и муниципальной собственности в связи с завышением сумм ассигнований над расчетной потребностью в объеме 102 </w:t>
      </w:r>
      <w:proofErr w:type="spellStart"/>
      <w:r w:rsidRPr="007579FA">
        <w:rPr>
          <w:b/>
        </w:rPr>
        <w:t>млн</w:t>
      </w:r>
      <w:proofErr w:type="gramStart"/>
      <w:r w:rsidRPr="007579FA">
        <w:rPr>
          <w:b/>
        </w:rPr>
        <w:t>.р</w:t>
      </w:r>
      <w:proofErr w:type="gramEnd"/>
      <w:r w:rsidRPr="007579FA">
        <w:rPr>
          <w:b/>
        </w:rPr>
        <w:t>уб</w:t>
      </w:r>
      <w:proofErr w:type="spellEnd"/>
      <w:r w:rsidRPr="007579FA">
        <w:rPr>
          <w:b/>
        </w:rPr>
        <w:t>.;</w:t>
      </w:r>
    </w:p>
    <w:p w:rsidR="00C83EEA" w:rsidRPr="007579FA" w:rsidRDefault="00C83EEA" w:rsidP="00C83EEA">
      <w:pPr>
        <w:ind w:firstLine="567"/>
        <w:jc w:val="both"/>
        <w:rPr>
          <w:b/>
        </w:rPr>
      </w:pPr>
      <w:r w:rsidRPr="007579FA">
        <w:rPr>
          <w:b/>
        </w:rPr>
        <w:t xml:space="preserve">- существует риск возникновения необеспеченного источником финансирования дефицита бюджета в сумме 355,3 </w:t>
      </w:r>
      <w:proofErr w:type="spellStart"/>
      <w:r w:rsidRPr="007579FA">
        <w:rPr>
          <w:b/>
        </w:rPr>
        <w:t>млн</w:t>
      </w:r>
      <w:proofErr w:type="gramStart"/>
      <w:r w:rsidRPr="007579FA">
        <w:rPr>
          <w:b/>
        </w:rPr>
        <w:t>.р</w:t>
      </w:r>
      <w:proofErr w:type="gramEnd"/>
      <w:r w:rsidRPr="007579FA">
        <w:rPr>
          <w:b/>
        </w:rPr>
        <w:t>уб</w:t>
      </w:r>
      <w:proofErr w:type="spellEnd"/>
      <w:r w:rsidRPr="007579FA">
        <w:rPr>
          <w:b/>
        </w:rPr>
        <w:t>.;</w:t>
      </w:r>
    </w:p>
    <w:p w:rsidR="00C83EEA" w:rsidRPr="007579FA" w:rsidRDefault="00C83EEA" w:rsidP="00C83EEA">
      <w:pPr>
        <w:ind w:firstLine="567"/>
        <w:jc w:val="both"/>
        <w:rPr>
          <w:b/>
        </w:rPr>
      </w:pPr>
      <w:r w:rsidRPr="007579FA">
        <w:rPr>
          <w:b/>
        </w:rPr>
        <w:t>- при подготовке проекта закона к принятию во втором чтении необходимо рассмотреть замечания и предложения, изложенные в настоящем Заключении.</w:t>
      </w:r>
    </w:p>
    <w:p w:rsidR="00C83EEA" w:rsidRPr="007579FA" w:rsidRDefault="00C83EEA" w:rsidP="00C83EEA">
      <w:pPr>
        <w:ind w:firstLine="567"/>
        <w:jc w:val="both"/>
        <w:rPr>
          <w:b/>
        </w:rPr>
      </w:pPr>
    </w:p>
    <w:p w:rsidR="00C83EEA" w:rsidRPr="007579FA" w:rsidRDefault="00C83EEA" w:rsidP="00C83EEA">
      <w:pPr>
        <w:ind w:firstLine="567"/>
        <w:jc w:val="both"/>
        <w:rPr>
          <w:b/>
        </w:rPr>
      </w:pPr>
      <w:bookmarkStart w:id="0" w:name="_GoBack"/>
      <w:bookmarkEnd w:id="0"/>
    </w:p>
    <w:p w:rsidR="00C83EEA" w:rsidRDefault="00C83EEA" w:rsidP="00C83EEA">
      <w:pPr>
        <w:jc w:val="both"/>
        <w:rPr>
          <w:b/>
        </w:rPr>
      </w:pPr>
    </w:p>
    <w:p w:rsidR="00C83EEA" w:rsidRPr="007579FA" w:rsidRDefault="00C83EEA" w:rsidP="00C83EEA">
      <w:pPr>
        <w:jc w:val="both"/>
        <w:rPr>
          <w:b/>
        </w:rPr>
      </w:pPr>
    </w:p>
    <w:p w:rsidR="00C83EEA" w:rsidRPr="007579FA" w:rsidRDefault="00C83EEA" w:rsidP="00C83EEA">
      <w:pPr>
        <w:jc w:val="both"/>
        <w:rPr>
          <w:b/>
        </w:rPr>
      </w:pPr>
      <w:r w:rsidRPr="007579FA">
        <w:rPr>
          <w:b/>
        </w:rPr>
        <w:t xml:space="preserve">Председатель </w:t>
      </w:r>
    </w:p>
    <w:p w:rsidR="00C83EEA" w:rsidRPr="007579FA" w:rsidRDefault="00C83EEA" w:rsidP="00C83EEA">
      <w:pPr>
        <w:jc w:val="both"/>
        <w:rPr>
          <w:b/>
        </w:rPr>
      </w:pPr>
      <w:r w:rsidRPr="007579FA">
        <w:rPr>
          <w:b/>
        </w:rPr>
        <w:t>Контрольно-счетной палаты</w:t>
      </w:r>
    </w:p>
    <w:p w:rsidR="00C83EEA" w:rsidRPr="007579FA" w:rsidRDefault="00C83EEA" w:rsidP="00C83EEA">
      <w:pPr>
        <w:jc w:val="both"/>
      </w:pPr>
      <w:r>
        <w:rPr>
          <w:b/>
        </w:rPr>
        <w:t>Томской области</w:t>
      </w:r>
      <w:r>
        <w:rPr>
          <w:b/>
        </w:rPr>
        <w:tab/>
      </w:r>
      <w:r>
        <w:rPr>
          <w:b/>
        </w:rPr>
        <w:tab/>
      </w:r>
      <w:r>
        <w:rPr>
          <w:b/>
        </w:rPr>
        <w:tab/>
      </w:r>
      <w:r>
        <w:rPr>
          <w:b/>
        </w:rPr>
        <w:tab/>
      </w:r>
      <w:r>
        <w:rPr>
          <w:b/>
        </w:rPr>
        <w:tab/>
      </w:r>
      <w:r>
        <w:rPr>
          <w:b/>
        </w:rPr>
        <w:tab/>
      </w:r>
      <w:r>
        <w:rPr>
          <w:b/>
        </w:rPr>
        <w:t xml:space="preserve"> </w:t>
      </w:r>
      <w:r>
        <w:rPr>
          <w:b/>
        </w:rPr>
        <w:tab/>
        <w:t xml:space="preserve">           </w:t>
      </w:r>
      <w:r w:rsidRPr="007579FA">
        <w:rPr>
          <w:b/>
        </w:rPr>
        <w:t>А.Д.</w:t>
      </w:r>
      <w:r>
        <w:rPr>
          <w:b/>
        </w:rPr>
        <w:t xml:space="preserve"> </w:t>
      </w:r>
      <w:proofErr w:type="spellStart"/>
      <w:r w:rsidRPr="007579FA">
        <w:rPr>
          <w:b/>
        </w:rPr>
        <w:t>Пронькин</w:t>
      </w:r>
      <w:proofErr w:type="spellEnd"/>
    </w:p>
    <w:p w:rsidR="00C83EEA" w:rsidRDefault="00C83EEA" w:rsidP="002050CE">
      <w:pPr>
        <w:jc w:val="center"/>
      </w:pPr>
    </w:p>
    <w:sectPr w:rsidR="00C83EEA" w:rsidSect="00C83EEA">
      <w:footerReference w:type="default" r:id="rId29"/>
      <w:pgSz w:w="11906" w:h="16838"/>
      <w:pgMar w:top="993"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3F62" w:rsidRDefault="00643F62" w:rsidP="00C83EEA">
      <w:r>
        <w:separator/>
      </w:r>
    </w:p>
  </w:endnote>
  <w:endnote w:type="continuationSeparator" w:id="0">
    <w:p w:rsidR="00643F62" w:rsidRDefault="00643F62" w:rsidP="00C83E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2689717"/>
      <w:docPartObj>
        <w:docPartGallery w:val="Page Numbers (Bottom of Page)"/>
        <w:docPartUnique/>
      </w:docPartObj>
    </w:sdtPr>
    <w:sdtContent>
      <w:p w:rsidR="00C83EEA" w:rsidRDefault="00C83EEA">
        <w:pPr>
          <w:pStyle w:val="ac"/>
          <w:jc w:val="right"/>
        </w:pPr>
        <w:r>
          <w:fldChar w:fldCharType="begin"/>
        </w:r>
        <w:r>
          <w:instrText>PAGE   \* MERGEFORMAT</w:instrText>
        </w:r>
        <w:r>
          <w:fldChar w:fldCharType="separate"/>
        </w:r>
        <w:r>
          <w:rPr>
            <w:noProof/>
          </w:rPr>
          <w:t>1</w:t>
        </w:r>
        <w:r>
          <w:fldChar w:fldCharType="end"/>
        </w:r>
      </w:p>
    </w:sdtContent>
  </w:sdt>
  <w:p w:rsidR="00C83EEA" w:rsidRDefault="00C83EEA">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3F62" w:rsidRDefault="00643F62" w:rsidP="00C83EEA">
      <w:r>
        <w:separator/>
      </w:r>
    </w:p>
  </w:footnote>
  <w:footnote w:type="continuationSeparator" w:id="0">
    <w:p w:rsidR="00643F62" w:rsidRDefault="00643F62" w:rsidP="00C83E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C4694"/>
    <w:multiLevelType w:val="hybridMultilevel"/>
    <w:tmpl w:val="55BA2752"/>
    <w:lvl w:ilvl="0" w:tplc="C76E628E">
      <w:start w:val="1"/>
      <w:numFmt w:val="bullet"/>
      <w:lvlText w:val=""/>
      <w:lvlJc w:val="left"/>
      <w:pPr>
        <w:ind w:left="720" w:hanging="360"/>
      </w:pPr>
      <w:rPr>
        <w:rFonts w:ascii="Symbol" w:hAnsi="Symbol" w:hint="default"/>
        <w:sz w:val="18"/>
        <w:szCs w:val="18"/>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7C21147"/>
    <w:multiLevelType w:val="hybridMultilevel"/>
    <w:tmpl w:val="FBB868F4"/>
    <w:lvl w:ilvl="0" w:tplc="8BE6761E">
      <w:start w:val="87"/>
      <w:numFmt w:val="bullet"/>
      <w:lvlText w:val=""/>
      <w:lvlJc w:val="left"/>
      <w:pPr>
        <w:tabs>
          <w:tab w:val="num" w:pos="1080"/>
        </w:tabs>
        <w:ind w:left="1080" w:hanging="360"/>
      </w:pPr>
      <w:rPr>
        <w:rFonts w:ascii="Symbol" w:eastAsia="Times New Roman" w:hAnsi="Symbol"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1DA33C28"/>
    <w:multiLevelType w:val="hybridMultilevel"/>
    <w:tmpl w:val="36F2569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1FB06679"/>
    <w:multiLevelType w:val="hybridMultilevel"/>
    <w:tmpl w:val="57FA827E"/>
    <w:lvl w:ilvl="0" w:tplc="04190001">
      <w:start w:val="190"/>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1317AFE"/>
    <w:multiLevelType w:val="hybridMultilevel"/>
    <w:tmpl w:val="FDA683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7C2E36DE"/>
    <w:multiLevelType w:val="hybridMultilevel"/>
    <w:tmpl w:val="052E1346"/>
    <w:lvl w:ilvl="0" w:tplc="DBA836D4">
      <w:start w:val="1"/>
      <w:numFmt w:val="bullet"/>
      <w:lvlText w:val=""/>
      <w:lvlJc w:val="left"/>
      <w:pPr>
        <w:tabs>
          <w:tab w:val="num" w:pos="720"/>
        </w:tabs>
        <w:ind w:left="720" w:hanging="360"/>
      </w:pPr>
      <w:rPr>
        <w:rFonts w:ascii="Symbol" w:hAnsi="Symbol" w:hint="default"/>
        <w:sz w:val="18"/>
        <w:szCs w:val="1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5869"/>
    <w:rsid w:val="002050CE"/>
    <w:rsid w:val="00643F62"/>
    <w:rsid w:val="00AB5869"/>
    <w:rsid w:val="00C83EEA"/>
    <w:rsid w:val="00CB43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5869"/>
    <w:pPr>
      <w:spacing w:after="0" w:line="240" w:lineRule="auto"/>
    </w:pPr>
    <w:rPr>
      <w:rFonts w:ascii="Times New Roman" w:eastAsia="Times New Roman" w:hAnsi="Times New Roman" w:cs="Times New Roman"/>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paragraph" w:styleId="a3">
    <w:name w:val="Body Text"/>
    <w:aliases w:val="Основной текст1,Основной текст Знак Знак,bt"/>
    <w:basedOn w:val="a"/>
    <w:link w:val="a4"/>
    <w:rsid w:val="00C83EEA"/>
    <w:pPr>
      <w:spacing w:after="120"/>
    </w:pPr>
    <w:rPr>
      <w:color w:val="auto"/>
    </w:rPr>
  </w:style>
  <w:style w:type="character" w:customStyle="1" w:styleId="a4">
    <w:name w:val="Основной текст Знак"/>
    <w:basedOn w:val="a0"/>
    <w:link w:val="a3"/>
    <w:rsid w:val="00C83EEA"/>
    <w:rPr>
      <w:rFonts w:ascii="Times New Roman" w:eastAsia="Times New Roman" w:hAnsi="Times New Roman" w:cs="Times New Roman"/>
      <w:sz w:val="24"/>
      <w:szCs w:val="24"/>
      <w:lang w:eastAsia="ru-RU"/>
    </w:rPr>
  </w:style>
  <w:style w:type="character" w:styleId="a5">
    <w:name w:val="Hyperlink"/>
    <w:basedOn w:val="a0"/>
    <w:rsid w:val="00C83EEA"/>
    <w:rPr>
      <w:strike w:val="0"/>
      <w:dstrike w:val="0"/>
      <w:color w:val="006600"/>
      <w:u w:val="none"/>
      <w:effect w:val="none"/>
    </w:rPr>
  </w:style>
  <w:style w:type="table" w:styleId="a6">
    <w:name w:val="Table Grid"/>
    <w:basedOn w:val="a1"/>
    <w:rsid w:val="00C83EE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C83EE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header"/>
    <w:basedOn w:val="a"/>
    <w:link w:val="a8"/>
    <w:rsid w:val="00C83EEA"/>
    <w:pPr>
      <w:tabs>
        <w:tab w:val="center" w:pos="4677"/>
        <w:tab w:val="right" w:pos="9355"/>
      </w:tabs>
    </w:pPr>
    <w:rPr>
      <w:color w:val="auto"/>
    </w:rPr>
  </w:style>
  <w:style w:type="character" w:customStyle="1" w:styleId="a8">
    <w:name w:val="Верхний колонтитул Знак"/>
    <w:basedOn w:val="a0"/>
    <w:link w:val="a7"/>
    <w:rsid w:val="00C83EEA"/>
    <w:rPr>
      <w:rFonts w:ascii="Times New Roman" w:eastAsia="Times New Roman" w:hAnsi="Times New Roman" w:cs="Times New Roman"/>
      <w:sz w:val="24"/>
      <w:szCs w:val="24"/>
      <w:lang w:eastAsia="ru-RU"/>
    </w:rPr>
  </w:style>
  <w:style w:type="character" w:styleId="a9">
    <w:name w:val="page number"/>
    <w:basedOn w:val="a0"/>
    <w:rsid w:val="00C83EEA"/>
  </w:style>
  <w:style w:type="paragraph" w:customStyle="1" w:styleId="rvps698610">
    <w:name w:val="rvps698610"/>
    <w:basedOn w:val="a"/>
    <w:rsid w:val="00C83EEA"/>
    <w:pPr>
      <w:spacing w:after="150"/>
      <w:ind w:right="300"/>
    </w:pPr>
    <w:rPr>
      <w:color w:val="auto"/>
    </w:rPr>
  </w:style>
  <w:style w:type="paragraph" w:styleId="aa">
    <w:name w:val="Balloon Text"/>
    <w:basedOn w:val="a"/>
    <w:link w:val="ab"/>
    <w:semiHidden/>
    <w:rsid w:val="00C83EEA"/>
    <w:rPr>
      <w:rFonts w:ascii="Tahoma" w:hAnsi="Tahoma" w:cs="Tahoma"/>
      <w:color w:val="auto"/>
      <w:sz w:val="16"/>
      <w:szCs w:val="16"/>
    </w:rPr>
  </w:style>
  <w:style w:type="character" w:customStyle="1" w:styleId="ab">
    <w:name w:val="Текст выноски Знак"/>
    <w:basedOn w:val="a0"/>
    <w:link w:val="aa"/>
    <w:semiHidden/>
    <w:rsid w:val="00C83EEA"/>
    <w:rPr>
      <w:rFonts w:ascii="Tahoma" w:eastAsia="Times New Roman" w:hAnsi="Tahoma" w:cs="Tahoma"/>
      <w:sz w:val="16"/>
      <w:szCs w:val="16"/>
      <w:lang w:eastAsia="ru-RU"/>
    </w:rPr>
  </w:style>
  <w:style w:type="paragraph" w:styleId="ac">
    <w:name w:val="footer"/>
    <w:basedOn w:val="a"/>
    <w:link w:val="ad"/>
    <w:uiPriority w:val="99"/>
    <w:unhideWhenUsed/>
    <w:rsid w:val="00C83EEA"/>
    <w:pPr>
      <w:tabs>
        <w:tab w:val="center" w:pos="4677"/>
        <w:tab w:val="right" w:pos="9355"/>
      </w:tabs>
    </w:pPr>
  </w:style>
  <w:style w:type="character" w:customStyle="1" w:styleId="ad">
    <w:name w:val="Нижний колонтитул Знак"/>
    <w:basedOn w:val="a0"/>
    <w:link w:val="ac"/>
    <w:uiPriority w:val="99"/>
    <w:rsid w:val="00C83EEA"/>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5869"/>
    <w:pPr>
      <w:spacing w:after="0" w:line="240" w:lineRule="auto"/>
    </w:pPr>
    <w:rPr>
      <w:rFonts w:ascii="Times New Roman" w:eastAsia="Times New Roman" w:hAnsi="Times New Roman" w:cs="Times New Roman"/>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paragraph" w:styleId="a3">
    <w:name w:val="Body Text"/>
    <w:aliases w:val="Основной текст1,Основной текст Знак Знак,bt"/>
    <w:basedOn w:val="a"/>
    <w:link w:val="a4"/>
    <w:rsid w:val="00C83EEA"/>
    <w:pPr>
      <w:spacing w:after="120"/>
    </w:pPr>
    <w:rPr>
      <w:color w:val="auto"/>
    </w:rPr>
  </w:style>
  <w:style w:type="character" w:customStyle="1" w:styleId="a4">
    <w:name w:val="Основной текст Знак"/>
    <w:basedOn w:val="a0"/>
    <w:link w:val="a3"/>
    <w:rsid w:val="00C83EEA"/>
    <w:rPr>
      <w:rFonts w:ascii="Times New Roman" w:eastAsia="Times New Roman" w:hAnsi="Times New Roman" w:cs="Times New Roman"/>
      <w:sz w:val="24"/>
      <w:szCs w:val="24"/>
      <w:lang w:eastAsia="ru-RU"/>
    </w:rPr>
  </w:style>
  <w:style w:type="character" w:styleId="a5">
    <w:name w:val="Hyperlink"/>
    <w:basedOn w:val="a0"/>
    <w:rsid w:val="00C83EEA"/>
    <w:rPr>
      <w:strike w:val="0"/>
      <w:dstrike w:val="0"/>
      <w:color w:val="006600"/>
      <w:u w:val="none"/>
      <w:effect w:val="none"/>
    </w:rPr>
  </w:style>
  <w:style w:type="table" w:styleId="a6">
    <w:name w:val="Table Grid"/>
    <w:basedOn w:val="a1"/>
    <w:rsid w:val="00C83EE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C83EE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header"/>
    <w:basedOn w:val="a"/>
    <w:link w:val="a8"/>
    <w:rsid w:val="00C83EEA"/>
    <w:pPr>
      <w:tabs>
        <w:tab w:val="center" w:pos="4677"/>
        <w:tab w:val="right" w:pos="9355"/>
      </w:tabs>
    </w:pPr>
    <w:rPr>
      <w:color w:val="auto"/>
    </w:rPr>
  </w:style>
  <w:style w:type="character" w:customStyle="1" w:styleId="a8">
    <w:name w:val="Верхний колонтитул Знак"/>
    <w:basedOn w:val="a0"/>
    <w:link w:val="a7"/>
    <w:rsid w:val="00C83EEA"/>
    <w:rPr>
      <w:rFonts w:ascii="Times New Roman" w:eastAsia="Times New Roman" w:hAnsi="Times New Roman" w:cs="Times New Roman"/>
      <w:sz w:val="24"/>
      <w:szCs w:val="24"/>
      <w:lang w:eastAsia="ru-RU"/>
    </w:rPr>
  </w:style>
  <w:style w:type="character" w:styleId="a9">
    <w:name w:val="page number"/>
    <w:basedOn w:val="a0"/>
    <w:rsid w:val="00C83EEA"/>
  </w:style>
  <w:style w:type="paragraph" w:customStyle="1" w:styleId="rvps698610">
    <w:name w:val="rvps698610"/>
    <w:basedOn w:val="a"/>
    <w:rsid w:val="00C83EEA"/>
    <w:pPr>
      <w:spacing w:after="150"/>
      <w:ind w:right="300"/>
    </w:pPr>
    <w:rPr>
      <w:color w:val="auto"/>
    </w:rPr>
  </w:style>
  <w:style w:type="paragraph" w:styleId="aa">
    <w:name w:val="Balloon Text"/>
    <w:basedOn w:val="a"/>
    <w:link w:val="ab"/>
    <w:semiHidden/>
    <w:rsid w:val="00C83EEA"/>
    <w:rPr>
      <w:rFonts w:ascii="Tahoma" w:hAnsi="Tahoma" w:cs="Tahoma"/>
      <w:color w:val="auto"/>
      <w:sz w:val="16"/>
      <w:szCs w:val="16"/>
    </w:rPr>
  </w:style>
  <w:style w:type="character" w:customStyle="1" w:styleId="ab">
    <w:name w:val="Текст выноски Знак"/>
    <w:basedOn w:val="a0"/>
    <w:link w:val="aa"/>
    <w:semiHidden/>
    <w:rsid w:val="00C83EEA"/>
    <w:rPr>
      <w:rFonts w:ascii="Tahoma" w:eastAsia="Times New Roman" w:hAnsi="Tahoma" w:cs="Tahoma"/>
      <w:sz w:val="16"/>
      <w:szCs w:val="16"/>
      <w:lang w:eastAsia="ru-RU"/>
    </w:rPr>
  </w:style>
  <w:style w:type="paragraph" w:styleId="ac">
    <w:name w:val="footer"/>
    <w:basedOn w:val="a"/>
    <w:link w:val="ad"/>
    <w:uiPriority w:val="99"/>
    <w:unhideWhenUsed/>
    <w:rsid w:val="00C83EEA"/>
    <w:pPr>
      <w:tabs>
        <w:tab w:val="center" w:pos="4677"/>
        <w:tab w:val="right" w:pos="9355"/>
      </w:tabs>
    </w:pPr>
  </w:style>
  <w:style w:type="character" w:customStyle="1" w:styleId="ad">
    <w:name w:val="Нижний колонтитул Знак"/>
    <w:basedOn w:val="a0"/>
    <w:link w:val="ac"/>
    <w:uiPriority w:val="99"/>
    <w:rsid w:val="00C83EEA"/>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omsk.gov.ru/export/sites/ru.gov.tomsk/ru/economy_finances/strategy_documents/strategy-tomsk/1.zip" TargetMode="External"/><Relationship Id="rId13" Type="http://schemas.openxmlformats.org/officeDocument/2006/relationships/hyperlink" Target="http://tomsk.gov.ru/export/sites/ru.gov.tomsk/ru/economy_finances/strategy_documents/strategy-tomsk/12.doc" TargetMode="External"/><Relationship Id="rId18" Type="http://schemas.openxmlformats.org/officeDocument/2006/relationships/hyperlink" Target="consultantplus://offline/main?base=RLAW091;n=47531;fld=134;dst=100012" TargetMode="External"/><Relationship Id="rId26" Type="http://schemas.openxmlformats.org/officeDocument/2006/relationships/image" Target="media/image8.emf"/><Relationship Id="rId3" Type="http://schemas.microsoft.com/office/2007/relationships/stylesWithEffects" Target="stylesWithEffects.xml"/><Relationship Id="rId21" Type="http://schemas.openxmlformats.org/officeDocument/2006/relationships/image" Target="media/image3.emf"/><Relationship Id="rId7" Type="http://schemas.openxmlformats.org/officeDocument/2006/relationships/endnotes" Target="endnotes.xml"/><Relationship Id="rId12" Type="http://schemas.openxmlformats.org/officeDocument/2006/relationships/hyperlink" Target="http://tomsk.gov.ru/export/sites/ru.gov.tomsk/ru/economy_finances/strategy_documents/strategy-tomsk/15.doc" TargetMode="External"/><Relationship Id="rId17" Type="http://schemas.openxmlformats.org/officeDocument/2006/relationships/hyperlink" Target="http://tomsk.gov.ru/export/sites/ru.gov.tomsk/ru/economy_finances/strategy_documents/strategy-tomsk/6.doc" TargetMode="External"/><Relationship Id="rId25" Type="http://schemas.openxmlformats.org/officeDocument/2006/relationships/image" Target="media/image7.emf"/><Relationship Id="rId2" Type="http://schemas.openxmlformats.org/officeDocument/2006/relationships/styles" Target="styles.xml"/><Relationship Id="rId16" Type="http://schemas.openxmlformats.org/officeDocument/2006/relationships/hyperlink" Target="http://tomsk.gov.ru/export/sites/ru.gov.tomsk/ru/economy_finances/strategy_documents/strategy-tomsk/11.doc" TargetMode="External"/><Relationship Id="rId20" Type="http://schemas.openxmlformats.org/officeDocument/2006/relationships/image" Target="media/image2.emf"/><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tomsk.gov.ru/export/sites/ru.gov.tomsk/ru/economy_finances/strategy_documents/strategy-tomsk/13.pdf" TargetMode="External"/><Relationship Id="rId24" Type="http://schemas.openxmlformats.org/officeDocument/2006/relationships/image" Target="media/image6.emf"/><Relationship Id="rId5" Type="http://schemas.openxmlformats.org/officeDocument/2006/relationships/webSettings" Target="webSettings.xml"/><Relationship Id="rId15" Type="http://schemas.openxmlformats.org/officeDocument/2006/relationships/hyperlink" Target="http://tomsk.gov.ru/export/sites/ru.gov.tomsk/ru/economy_finances/strategy_documents/strategy-tomsk/9.doc" TargetMode="External"/><Relationship Id="rId23" Type="http://schemas.openxmlformats.org/officeDocument/2006/relationships/image" Target="media/image5.emf"/><Relationship Id="rId28" Type="http://schemas.openxmlformats.org/officeDocument/2006/relationships/image" Target="media/image10.emf"/><Relationship Id="rId10" Type="http://schemas.openxmlformats.org/officeDocument/2006/relationships/hyperlink" Target="consultantplus://offline/main?base=RLAW091;n=54802;fld=134;dst=100017" TargetMode="External"/><Relationship Id="rId19" Type="http://schemas.openxmlformats.org/officeDocument/2006/relationships/image" Target="media/image1.emf"/><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omsk.gov.ru/export/sites/ru.gov.tomsk/ru/economy_finances/strategy_documents/strategy-tomsk/10.doc" TargetMode="External"/><Relationship Id="rId14" Type="http://schemas.openxmlformats.org/officeDocument/2006/relationships/hyperlink" Target="http://tomsk.gov.ru/export/sites/ru.gov.tomsk/ru/economy_finances/strategy_documents/strategy-tomsk/8.doc" TargetMode="External"/><Relationship Id="rId22" Type="http://schemas.openxmlformats.org/officeDocument/2006/relationships/image" Target="media/image4.emf"/><Relationship Id="rId27" Type="http://schemas.openxmlformats.org/officeDocument/2006/relationships/image" Target="media/image9.emf"/><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31</Pages>
  <Words>13535</Words>
  <Characters>77152</Characters>
  <Application>Microsoft Office Word</Application>
  <DocSecurity>0</DocSecurity>
  <Lines>642</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Контрольно-счетная палата Томской области</Company>
  <LinksUpToDate>false</LinksUpToDate>
  <CharactersWithSpaces>90506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Губина</dc:creator>
  <cp:lastModifiedBy>Губина</cp:lastModifiedBy>
  <cp:revision>3</cp:revision>
  <dcterms:created xsi:type="dcterms:W3CDTF">2012-10-18T08:09:00Z</dcterms:created>
  <dcterms:modified xsi:type="dcterms:W3CDTF">2012-10-23T05:17:00Z</dcterms:modified>
</cp:coreProperties>
</file>